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DD4" w:rsidRDefault="00734F2E">
      <w:pPr>
        <w:pStyle w:val="CRCoverPage"/>
        <w:tabs>
          <w:tab w:val="right" w:pos="9360"/>
        </w:tabs>
        <w:spacing w:after="60" w:line="240" w:lineRule="auto"/>
        <w:jc w:val="both"/>
        <w:rPr>
          <w:rFonts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eastAsia="宋体" w:cs="Arial" w:hint="eastAsia"/>
          <w:b/>
          <w:sz w:val="21"/>
          <w:szCs w:val="21"/>
          <w:lang w:val="en-US" w:eastAsia="zh-CN"/>
        </w:rPr>
        <w:t>2-e</w:t>
      </w:r>
      <w:r>
        <w:rPr>
          <w:rFonts w:eastAsia="宋体" w:cs="Arial"/>
          <w:b/>
          <w:sz w:val="21"/>
          <w:szCs w:val="21"/>
          <w:lang w:val="en-US" w:eastAsia="zh-CN"/>
        </w:rPr>
        <w:tab/>
        <w:t>R1-20</w:t>
      </w:r>
      <w:r>
        <w:rPr>
          <w:rFonts w:eastAsia="宋体" w:cs="Arial" w:hint="eastAsia"/>
          <w:b/>
          <w:sz w:val="21"/>
          <w:szCs w:val="21"/>
          <w:lang w:val="en-US" w:eastAsia="zh-CN"/>
        </w:rPr>
        <w:t>05608</w:t>
      </w:r>
    </w:p>
    <w:p w:rsidR="00FC1DD4" w:rsidRDefault="00734F2E">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eastAsia="宋体" w:cs="Arial" w:hint="eastAsia"/>
          <w:b/>
          <w:bCs/>
          <w:sz w:val="21"/>
          <w:szCs w:val="21"/>
          <w:lang w:val="en-US" w:eastAsia="zh-CN"/>
        </w:rPr>
        <w:t>August</w:t>
      </w:r>
      <w:r>
        <w:rPr>
          <w:rFonts w:eastAsia="宋体" w:cs="Arial"/>
          <w:b/>
          <w:bCs/>
          <w:sz w:val="21"/>
          <w:szCs w:val="21"/>
          <w:lang w:val="en-US" w:eastAsia="zh-CN"/>
        </w:rPr>
        <w:t xml:space="preserve"> </w:t>
      </w:r>
      <w:r>
        <w:rPr>
          <w:rFonts w:eastAsia="宋体" w:cs="Arial" w:hint="eastAsia"/>
          <w:b/>
          <w:bCs/>
          <w:sz w:val="21"/>
          <w:szCs w:val="21"/>
          <w:lang w:val="en-US" w:eastAsia="zh-CN"/>
        </w:rPr>
        <w:t>17</w:t>
      </w:r>
      <w:r>
        <w:rPr>
          <w:rFonts w:eastAsia="宋体" w:cs="Arial"/>
          <w:b/>
          <w:bCs/>
          <w:sz w:val="21"/>
          <w:szCs w:val="21"/>
          <w:vertAlign w:val="superscript"/>
          <w:lang w:val="en-US" w:eastAsia="zh-CN"/>
        </w:rPr>
        <w:t>th</w:t>
      </w:r>
      <w:r>
        <w:rPr>
          <w:rFonts w:eastAsia="宋体" w:cs="Arial"/>
          <w:b/>
          <w:bCs/>
          <w:sz w:val="21"/>
          <w:szCs w:val="21"/>
          <w:lang w:val="en-US" w:eastAsia="zh-CN"/>
        </w:rPr>
        <w:t xml:space="preserve"> - </w:t>
      </w:r>
      <w:r>
        <w:rPr>
          <w:rFonts w:eastAsia="宋体" w:cs="Arial" w:hint="eastAsia"/>
          <w:b/>
          <w:bCs/>
          <w:sz w:val="21"/>
          <w:szCs w:val="21"/>
          <w:lang w:val="en-US" w:eastAsia="zh-CN"/>
        </w:rPr>
        <w:t>28</w:t>
      </w:r>
      <w:r>
        <w:rPr>
          <w:rFonts w:eastAsia="宋体" w:cs="Arial"/>
          <w:b/>
          <w:bCs/>
          <w:sz w:val="21"/>
          <w:szCs w:val="21"/>
          <w:vertAlign w:val="superscript"/>
          <w:lang w:val="en-US" w:eastAsia="zh-CN"/>
        </w:rPr>
        <w:t>th</w:t>
      </w:r>
      <w:r>
        <w:rPr>
          <w:rFonts w:eastAsia="宋体" w:cs="Arial"/>
          <w:b/>
          <w:bCs/>
          <w:sz w:val="21"/>
          <w:szCs w:val="21"/>
          <w:lang w:val="en-US" w:eastAsia="zh-CN"/>
        </w:rPr>
        <w:t xml:space="preserve"> </w:t>
      </w:r>
      <w:r>
        <w:rPr>
          <w:rFonts w:eastAsia="宋体" w:cs="Arial"/>
          <w:b/>
          <w:sz w:val="21"/>
          <w:szCs w:val="21"/>
          <w:lang w:val="en-US" w:eastAsia="zh-CN"/>
        </w:rPr>
        <w:t>,</w:t>
      </w:r>
      <w:r>
        <w:rPr>
          <w:rFonts w:eastAsia="宋体" w:cs="Arial"/>
          <w:b/>
          <w:sz w:val="21"/>
          <w:szCs w:val="21"/>
          <w:lang w:val="sv-SE" w:eastAsia="zh-CN"/>
        </w:rPr>
        <w:t xml:space="preserve"> 20</w:t>
      </w:r>
      <w:r>
        <w:rPr>
          <w:rFonts w:eastAsia="宋体" w:cs="Arial"/>
          <w:b/>
          <w:sz w:val="21"/>
          <w:szCs w:val="21"/>
          <w:lang w:val="en-US" w:eastAsia="zh-CN"/>
        </w:rPr>
        <w:t>20</w:t>
      </w:r>
    </w:p>
    <w:p w:rsidR="00FC1DD4" w:rsidRDefault="00FC1DD4">
      <w:pPr>
        <w:pStyle w:val="CRCoverPage"/>
        <w:tabs>
          <w:tab w:val="right" w:pos="9639"/>
        </w:tabs>
        <w:spacing w:after="60" w:line="240" w:lineRule="auto"/>
        <w:jc w:val="both"/>
        <w:rPr>
          <w:rFonts w:eastAsia="宋体" w:cs="Arial"/>
          <w:b/>
          <w:sz w:val="21"/>
          <w:szCs w:val="21"/>
          <w:lang w:val="sv-SE" w:eastAsia="zh-CN"/>
        </w:rPr>
      </w:pPr>
    </w:p>
    <w:p w:rsidR="00FC1DD4" w:rsidRDefault="00734F2E">
      <w:pPr>
        <w:pStyle w:val="Header"/>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t>Discussion on the channel access mechanism for above 52.6GHz</w:t>
      </w:r>
    </w:p>
    <w:p w:rsidR="00FC1DD4" w:rsidRDefault="00734F2E">
      <w:pPr>
        <w:pStyle w:val="Header"/>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rsidR="00FC1DD4" w:rsidRDefault="00734F2E">
      <w:pPr>
        <w:pStyle w:val="Header"/>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eastAsia="宋体" w:cs="Arial" w:hint="eastAsia"/>
          <w:sz w:val="21"/>
          <w:szCs w:val="21"/>
          <w:lang w:val="en-US" w:eastAsia="zh-CN"/>
        </w:rPr>
        <w:t>2</w:t>
      </w:r>
      <w:r>
        <w:rPr>
          <w:rFonts w:eastAsia="宋体" w:cs="Arial"/>
          <w:sz w:val="21"/>
          <w:szCs w:val="21"/>
          <w:lang w:val="en-US" w:eastAsia="zh-CN"/>
        </w:rPr>
        <w:t>.2</w:t>
      </w:r>
    </w:p>
    <w:p w:rsidR="00FC1DD4" w:rsidRDefault="00734F2E">
      <w:pPr>
        <w:pStyle w:val="Header"/>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rsidR="00FC1DD4" w:rsidRDefault="00734F2E">
      <w:pPr>
        <w:pStyle w:val="Heading1"/>
        <w:spacing w:before="120" w:after="120" w:line="240" w:lineRule="auto"/>
        <w:jc w:val="both"/>
        <w:rPr>
          <w:rFonts w:ascii="Times New Roman" w:eastAsia="宋体" w:hAnsi="Times New Roman"/>
          <w:b/>
          <w:sz w:val="30"/>
          <w:szCs w:val="30"/>
          <w:lang w:eastAsia="zh-CN"/>
        </w:rPr>
      </w:pPr>
      <w:r>
        <w:rPr>
          <w:rFonts w:ascii="Times New Roman" w:eastAsia="宋体" w:hAnsi="Times New Roman"/>
          <w:b/>
          <w:sz w:val="30"/>
          <w:szCs w:val="30"/>
          <w:lang w:val="en-US" w:eastAsia="zh-CN"/>
        </w:rPr>
        <w:t xml:space="preserve"> </w:t>
      </w:r>
      <w:r>
        <w:rPr>
          <w:rFonts w:ascii="Times New Roman" w:eastAsia="宋体" w:hAnsi="Times New Roman"/>
          <w:b/>
          <w:sz w:val="30"/>
          <w:szCs w:val="30"/>
          <w:lang w:eastAsia="zh-CN"/>
        </w:rPr>
        <w:t>Introduction</w:t>
      </w:r>
    </w:p>
    <w:p w:rsidR="00FC1DD4" w:rsidRDefault="00734F2E">
      <w:pPr>
        <w:snapToGrid w:val="0"/>
        <w:spacing w:beforeLines="50" w:before="120" w:afterLines="50" w:after="120" w:line="240" w:lineRule="auto"/>
        <w:jc w:val="both"/>
        <w:rPr>
          <w:bCs/>
        </w:rPr>
      </w:pPr>
      <w:bookmarkStart w:id="1" w:name="OLE_LINK15"/>
      <w:bookmarkStart w:id="2" w:name="OLE_LINK1"/>
      <w:bookmarkStart w:id="3" w:name="OLE_LINK2"/>
      <w:bookmarkStart w:id="4" w:name="OLE_LINK16"/>
      <w:r>
        <w:rPr>
          <w:rFonts w:hint="eastAsia"/>
          <w:lang w:val="en-US" w:eastAsia="zh-CN"/>
        </w:rPr>
        <w:t>In the RAN #86 meeting, a new SID on supporting NR from 52.6 GHz to 71 GHz was agreed [1] and t</w:t>
      </w:r>
      <w:r>
        <w:rPr>
          <w:bCs/>
        </w:rPr>
        <w:t>his study item will include the following objectives</w:t>
      </w:r>
      <w:r>
        <w:rPr>
          <w:rFonts w:eastAsia="宋体" w:hint="eastAsia"/>
          <w:bCs/>
          <w:lang w:val="en-US" w:eastAsia="zh-CN"/>
        </w:rPr>
        <w:t xml:space="preserve"> for channel access mechanism in RAN1</w:t>
      </w:r>
      <w:r>
        <w:rPr>
          <w:bCs/>
        </w:rPr>
        <w:t>:</w:t>
      </w:r>
    </w:p>
    <w:p w:rsidR="00FC1DD4" w:rsidRDefault="00734F2E">
      <w:pPr>
        <w:numPr>
          <w:ilvl w:val="0"/>
          <w:numId w:val="11"/>
        </w:numPr>
        <w:spacing w:beforeLines="50" w:before="120" w:after="0" w:line="260" w:lineRule="auto"/>
        <w:ind w:left="726" w:hanging="363"/>
        <w:rPr>
          <w:bCs/>
          <w:i/>
          <w:iCs/>
          <w:lang w:val="en-US"/>
        </w:rPr>
      </w:pPr>
      <w:r>
        <w:rPr>
          <w:bCs/>
          <w:i/>
          <w:i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rsidR="00FC1DD4" w:rsidRDefault="00734F2E">
      <w:pPr>
        <w:numPr>
          <w:ilvl w:val="1"/>
          <w:numId w:val="11"/>
        </w:numPr>
        <w:spacing w:after="0"/>
        <w:rPr>
          <w:bCs/>
          <w:sz w:val="21"/>
          <w:szCs w:val="22"/>
          <w:lang w:val="en-US" w:eastAsia="zh-CN"/>
        </w:rPr>
      </w:pPr>
      <w:r>
        <w:rPr>
          <w:bCs/>
          <w:i/>
          <w:iCs/>
          <w:sz w:val="21"/>
          <w:szCs w:val="22"/>
          <w:lang w:val="en-US"/>
        </w:rPr>
        <w:t>Note: It is clarified that potential interference impact, if identified, may require interference mitigation solutions as part of channel access mechanism.</w:t>
      </w:r>
      <w:r>
        <w:rPr>
          <w:bCs/>
          <w:sz w:val="21"/>
          <w:szCs w:val="22"/>
          <w:lang w:val="en-US"/>
        </w:rPr>
        <w:t xml:space="preserve"> </w:t>
      </w:r>
    </w:p>
    <w:p w:rsidR="00FC1DD4" w:rsidRDefault="00734F2E">
      <w:pPr>
        <w:snapToGrid w:val="0"/>
        <w:spacing w:beforeLines="50" w:before="120" w:afterLines="50" w:after="120" w:line="240" w:lineRule="auto"/>
        <w:jc w:val="both"/>
        <w:rPr>
          <w:lang w:val="en-US" w:eastAsia="zh-CN"/>
        </w:rPr>
      </w:pPr>
      <w:r>
        <w:rPr>
          <w:rFonts w:hint="eastAsia"/>
          <w:lang w:val="en-US" w:eastAsia="zh-CN"/>
        </w:rPr>
        <w:t xml:space="preserve">In this contribution, we will share our views on channel access mechanism for frequencies between </w:t>
      </w:r>
      <w:r>
        <w:rPr>
          <w:rFonts w:eastAsia="宋体" w:hint="eastAsia"/>
          <w:lang w:val="en-US" w:eastAsia="zh-CN"/>
        </w:rPr>
        <w:t>52.6 GHz and 71 GHz</w:t>
      </w:r>
      <w:r>
        <w:rPr>
          <w:lang w:val="en-US"/>
        </w:rPr>
        <w:t xml:space="preserve"> in different aspects</w:t>
      </w:r>
      <w:r>
        <w:rPr>
          <w:rFonts w:eastAsia="宋体" w:hint="eastAsia"/>
          <w:lang w:val="en-US" w:eastAsia="zh-CN"/>
        </w:rPr>
        <w:t>.</w:t>
      </w:r>
    </w:p>
    <w:p w:rsidR="00FC1DD4" w:rsidRDefault="00734F2E">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FC1DD4" w:rsidRDefault="00734F2E">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w:t>
      </w:r>
      <w:r>
        <w:rPr>
          <w:rFonts w:ascii="Times New Roman" w:hAnsi="Times New Roman" w:hint="eastAsia"/>
          <w:b/>
          <w:bCs w:val="0"/>
          <w:lang w:val="en-US" w:eastAsia="zh-CN"/>
        </w:rPr>
        <w:t>Regulation rules</w:t>
      </w:r>
    </w:p>
    <w:p w:rsidR="00FC1DD4" w:rsidRDefault="00734F2E">
      <w:pPr>
        <w:jc w:val="both"/>
        <w:rPr>
          <w:rFonts w:eastAsia="宋体"/>
          <w:lang w:eastAsia="zh-CN"/>
        </w:rPr>
      </w:pPr>
      <w:r>
        <w:rPr>
          <w:rFonts w:hint="eastAsia"/>
          <w:lang w:val="en-US" w:eastAsia="zh-CN"/>
        </w:rPr>
        <w:t xml:space="preserve">NR operation in unlicensed spectrum </w:t>
      </w:r>
      <w:r>
        <w:rPr>
          <w:rFonts w:eastAsia="宋体" w:hint="eastAsia"/>
          <w:lang w:val="en-US" w:eastAsia="zh-CN"/>
        </w:rPr>
        <w:t xml:space="preserve">should target fair and friendly coexistence with incumbent systems (e.g. WiFi/NR-U) and intra-RAT services. To satisfy fair </w:t>
      </w:r>
      <w:r>
        <w:rPr>
          <w:rFonts w:eastAsia="宋体"/>
          <w:lang w:val="en-US" w:eastAsia="zh-CN"/>
        </w:rPr>
        <w:t>coexistence</w:t>
      </w:r>
      <w:r>
        <w:rPr>
          <w:rFonts w:eastAsia="宋体" w:hint="eastAsia"/>
          <w:lang w:val="en-US" w:eastAsia="zh-CN"/>
        </w:rPr>
        <w:t xml:space="preserve"> target, NR-U should </w:t>
      </w:r>
      <w:r>
        <w:rPr>
          <w:rFonts w:eastAsia="宋体"/>
          <w:lang w:val="en-US" w:eastAsia="zh-CN"/>
        </w:rPr>
        <w:t>fulfill</w:t>
      </w:r>
      <w:r>
        <w:rPr>
          <w:rFonts w:eastAsia="宋体" w:hint="eastAsia"/>
          <w:lang w:val="en-US" w:eastAsia="zh-CN"/>
        </w:rPr>
        <w:t xml:space="preserve"> regulatory requirements for above 52.6 GHz </w:t>
      </w:r>
      <w:r>
        <w:rPr>
          <w:rFonts w:eastAsia="宋体" w:hint="eastAsia"/>
          <w:lang w:eastAsia="zh-CN"/>
        </w:rPr>
        <w:t>as following:</w:t>
      </w:r>
    </w:p>
    <w:p w:rsidR="00FC1DD4" w:rsidRDefault="00734F2E">
      <w:pPr>
        <w:rPr>
          <w:rFonts w:eastAsia="宋体"/>
          <w:b/>
          <w:bCs/>
          <w:lang w:val="en-US" w:eastAsia="zh-CN"/>
        </w:rPr>
      </w:pPr>
      <w:r>
        <w:rPr>
          <w:rFonts w:eastAsia="宋体" w:hint="eastAsia"/>
          <w:b/>
          <w:bCs/>
          <w:lang w:val="en-US" w:eastAsia="zh-CN"/>
        </w:rPr>
        <w:t>Channel access mechanism</w:t>
      </w:r>
    </w:p>
    <w:p w:rsidR="00FC1DD4" w:rsidRDefault="00734F2E">
      <w:pPr>
        <w:jc w:val="both"/>
        <w:rPr>
          <w:rFonts w:eastAsia="宋体"/>
          <w:lang w:val="en-US" w:eastAsia="zh-CN"/>
        </w:rPr>
      </w:pPr>
      <w:r>
        <w:rPr>
          <w:rFonts w:eastAsia="宋体" w:hint="eastAsia"/>
          <w:lang w:val="en-US" w:eastAsia="zh-CN"/>
        </w:rPr>
        <w:t>Channel access procedure is a mechanism by which NR equipment performs a clear channel assessment</w:t>
      </w:r>
      <w:r>
        <w:rPr>
          <w:rFonts w:eastAsia="宋体"/>
          <w:lang w:val="en-US" w:eastAsia="zh-CN"/>
        </w:rPr>
        <w:t xml:space="preserve"> </w:t>
      </w:r>
      <w:r>
        <w:rPr>
          <w:rFonts w:eastAsia="宋体" w:hint="eastAsia"/>
          <w:lang w:val="en-US" w:eastAsia="zh-CN"/>
        </w:rPr>
        <w:t>(CCA) detection before transmission. In ETSI EN 302 567 [2], LBT</w:t>
      </w:r>
      <w:r w:rsidR="00E75E07">
        <w:rPr>
          <w:rFonts w:eastAsia="宋体"/>
          <w:lang w:val="en-US" w:eastAsia="zh-CN"/>
        </w:rPr>
        <w:t xml:space="preserve"> </w:t>
      </w:r>
      <w:r>
        <w:rPr>
          <w:rFonts w:eastAsia="宋体" w:hint="eastAsia"/>
          <w:lang w:val="en-US" w:eastAsia="zh-CN"/>
        </w:rPr>
        <w:t xml:space="preserve">(Listen Before Talk) is mandatory to facilitate spectrum sharing in Europe area. Thus, LBT should be supported in Europe in order to comply with regulatory requirements applicable to frequencies between 57 GHz and 66 GHz. But such mechanism is not required in other countries, e.g., </w:t>
      </w:r>
      <w:r>
        <w:t xml:space="preserve">ITU region 2 and </w:t>
      </w:r>
      <w:r>
        <w:rPr>
          <w:rFonts w:eastAsia="宋体" w:hint="eastAsia"/>
          <w:lang w:val="en-US" w:eastAsia="zh-CN"/>
        </w:rPr>
        <w:t xml:space="preserve">3. Even so, we still need to consider LBT regulatory of other RAT devices (e.g., Wi-Fi 802.11 ad/ay ) operated in the same frequency spectrum. Wherein, </w:t>
      </w:r>
      <w:r w:rsidR="00E75E07">
        <w:rPr>
          <w:rFonts w:eastAsia="宋体" w:hint="eastAsia"/>
          <w:lang w:val="en-US" w:eastAsia="zh-CN"/>
        </w:rPr>
        <w:t>802.11 ad/ay nodes need to use</w:t>
      </w:r>
      <w:r>
        <w:rPr>
          <w:rFonts w:eastAsia="宋体" w:hint="eastAsia"/>
          <w:lang w:val="en-US" w:eastAsia="zh-CN"/>
        </w:rPr>
        <w:t xml:space="preserve"> LBT to assess the state (busy or idle) of the current channel. From this point of view, in order to ensure friendly and fair coexistence with Wi-Fi, LBT should be considered and enhanced for NR above 52.6 GHz.</w:t>
      </w:r>
    </w:p>
    <w:p w:rsidR="00FC1DD4" w:rsidRDefault="00734F2E">
      <w:pPr>
        <w:jc w:val="both"/>
        <w:rPr>
          <w:rFonts w:eastAsia="宋体"/>
          <w:b/>
          <w:bCs/>
          <w:lang w:val="en-US" w:eastAsia="zh-CN"/>
        </w:rPr>
      </w:pPr>
      <w:r>
        <w:rPr>
          <w:rFonts w:eastAsia="宋体" w:hint="eastAsia"/>
          <w:b/>
          <w:bCs/>
          <w:lang w:val="en-US" w:eastAsia="zh-CN"/>
        </w:rPr>
        <w:t>Occupied Channel Bandwidth (OCB)</w:t>
      </w:r>
    </w:p>
    <w:p w:rsidR="00FC1DD4" w:rsidRDefault="00734F2E">
      <w:pPr>
        <w:jc w:val="both"/>
      </w:pPr>
      <w:r>
        <w:rPr>
          <w:rFonts w:eastAsia="宋体" w:hint="eastAsia"/>
          <w:lang w:val="en-US" w:eastAsia="zh-CN"/>
        </w:rPr>
        <w:t>In ETSI EN 302 567</w:t>
      </w:r>
      <w:r>
        <w:rPr>
          <w:rFonts w:eastAsia="宋体" w:hint="eastAsia"/>
          <w:sz w:val="21"/>
          <w:szCs w:val="22"/>
          <w:lang w:val="en-US" w:eastAsia="zh-CN"/>
        </w:rPr>
        <w:t xml:space="preserve"> [2], t</w:t>
      </w:r>
      <w:r>
        <w:rPr>
          <w:rFonts w:eastAsia="宋体"/>
          <w:color w:val="000000"/>
          <w:sz w:val="19"/>
          <w:szCs w:val="19"/>
          <w:lang w:val="en-US" w:eastAsia="zh-CN" w:bidi="ar"/>
        </w:rPr>
        <w:t>he Occupied Channel Bandwidth is the bandwidth containing 99 % of the power of the signal</w:t>
      </w:r>
      <w:r>
        <w:rPr>
          <w:rFonts w:eastAsia="宋体" w:hint="eastAsia"/>
          <w:color w:val="000000"/>
          <w:sz w:val="19"/>
          <w:szCs w:val="19"/>
          <w:lang w:val="en-US" w:eastAsia="zh-CN" w:bidi="ar"/>
        </w:rPr>
        <w:t>, which</w:t>
      </w:r>
      <w:r>
        <w:rPr>
          <w:rFonts w:eastAsia="宋体"/>
          <w:color w:val="000000"/>
          <w:sz w:val="19"/>
          <w:szCs w:val="19"/>
          <w:lang w:val="en-US" w:eastAsia="zh-CN" w:bidi="ar"/>
        </w:rPr>
        <w:t xml:space="preserve"> shall be between 70 % and 100 % of the declared </w:t>
      </w:r>
      <w:r>
        <w:rPr>
          <w:rFonts w:eastAsia="宋体"/>
          <w:i/>
          <w:iCs/>
          <w:color w:val="000000"/>
          <w:sz w:val="19"/>
          <w:szCs w:val="19"/>
          <w:lang w:val="en-US" w:eastAsia="zh-CN" w:bidi="ar"/>
        </w:rPr>
        <w:t>Nominal Channel Bandwidth</w:t>
      </w:r>
      <w:r>
        <w:rPr>
          <w:rFonts w:eastAsia="宋体" w:hint="eastAsia"/>
          <w:i/>
          <w:iCs/>
          <w:color w:val="000000"/>
          <w:sz w:val="19"/>
          <w:szCs w:val="19"/>
          <w:lang w:val="en-US" w:eastAsia="zh-CN" w:bidi="ar"/>
        </w:rPr>
        <w:t xml:space="preserve"> </w:t>
      </w:r>
      <w:r>
        <w:rPr>
          <w:rFonts w:eastAsia="宋体" w:hint="eastAsia"/>
          <w:color w:val="000000"/>
          <w:sz w:val="19"/>
          <w:szCs w:val="19"/>
          <w:lang w:val="en-US" w:eastAsia="zh-CN" w:bidi="ar"/>
        </w:rPr>
        <w:t>(NCB)</w:t>
      </w:r>
      <w:r>
        <w:rPr>
          <w:rFonts w:eastAsia="宋体"/>
          <w:color w:val="000000"/>
          <w:sz w:val="19"/>
          <w:szCs w:val="19"/>
          <w:lang w:val="en-US" w:eastAsia="zh-CN" w:bidi="ar"/>
        </w:rPr>
        <w:t xml:space="preserve">. </w:t>
      </w:r>
      <w:r>
        <w:rPr>
          <w:rFonts w:eastAsia="宋体" w:hint="eastAsia"/>
          <w:color w:val="000000"/>
          <w:sz w:val="19"/>
          <w:szCs w:val="19"/>
          <w:lang w:val="en-US" w:eastAsia="zh-CN" w:bidi="ar"/>
        </w:rPr>
        <w:t xml:space="preserve">Wherein, </w:t>
      </w:r>
      <w:r>
        <w:rPr>
          <w:rFonts w:eastAsia="宋体"/>
          <w:color w:val="000000"/>
          <w:sz w:val="19"/>
          <w:szCs w:val="19"/>
          <w:lang w:val="en-US" w:eastAsia="zh-CN" w:bidi="ar"/>
        </w:rPr>
        <w:t xml:space="preserve">The Nominal Channel Bandwidth is the widest band of frequencies, inclusive of guard bands, assigned to a single channel. </w:t>
      </w:r>
      <w:r>
        <w:rPr>
          <w:rFonts w:eastAsia="宋体" w:hint="eastAsia"/>
          <w:color w:val="000000"/>
          <w:sz w:val="19"/>
          <w:szCs w:val="19"/>
          <w:lang w:val="en-US" w:eastAsia="zh-CN" w:bidi="ar"/>
        </w:rPr>
        <w:t>However, such restriction is not required in the US, China, Japan, South Korea, Australia and Singapore. In this regard, some studies should be made for the constraints of OCB requirements on BWP or larger bandwidth.</w:t>
      </w:r>
    </w:p>
    <w:p w:rsidR="00FC1DD4" w:rsidRDefault="00734F2E">
      <w:pPr>
        <w:jc w:val="both"/>
        <w:rPr>
          <w:rFonts w:eastAsia="宋体"/>
          <w:lang w:val="en-US" w:eastAsia="zh-CN"/>
        </w:rPr>
      </w:pPr>
      <w:r>
        <w:rPr>
          <w:rFonts w:eastAsia="宋体" w:hint="eastAsia"/>
          <w:b/>
          <w:bCs/>
          <w:lang w:val="en-US" w:eastAsia="zh-CN"/>
        </w:rPr>
        <w:t>Channel Occupancy Time (COT)</w:t>
      </w:r>
    </w:p>
    <w:p w:rsidR="00FC1DD4" w:rsidRDefault="00734F2E">
      <w:pPr>
        <w:jc w:val="both"/>
        <w:rPr>
          <w:lang w:val="en-US" w:eastAsia="zh-CN"/>
        </w:rPr>
      </w:pPr>
      <w:r>
        <w:t xml:space="preserve">In unlicensed spectrum, channel availability cannot always be guaranteed. In addition, certain regions such as Europe and Japan prohibit continuous transmission and impose limits on the </w:t>
      </w:r>
      <w:r>
        <w:rPr>
          <w:lang w:val="en-US"/>
        </w:rPr>
        <w:t>maximum</w:t>
      </w:r>
      <w:r>
        <w:t xml:space="preserve"> </w:t>
      </w:r>
      <w:r>
        <w:rPr>
          <w:rFonts w:hint="eastAsia"/>
          <w:i/>
        </w:rPr>
        <w:t>Channel Occupancy Time</w:t>
      </w:r>
      <w:r>
        <w:rPr>
          <w:rFonts w:hint="eastAsia"/>
        </w:rPr>
        <w:t xml:space="preserve"> (COT) </w:t>
      </w:r>
      <w:r>
        <w:t xml:space="preserve">in </w:t>
      </w:r>
      <w:r>
        <w:lastRenderedPageBreak/>
        <w:t xml:space="preserve">the unlicensed spectrum. </w:t>
      </w:r>
      <w:r>
        <w:rPr>
          <w:rFonts w:eastAsia="宋体" w:hint="eastAsia"/>
          <w:lang w:val="en-US" w:eastAsia="zh-CN"/>
        </w:rPr>
        <w:t>In ETSI EN 302 567</w:t>
      </w:r>
      <w:r>
        <w:rPr>
          <w:rFonts w:hint="eastAsia"/>
          <w:lang w:val="en-US" w:eastAsia="zh-CN"/>
        </w:rPr>
        <w:t xml:space="preserve"> [2]</w:t>
      </w:r>
      <w:r>
        <w:rPr>
          <w:rFonts w:eastAsiaTheme="minorEastAsia" w:hint="eastAsia"/>
          <w:lang w:val="en-US" w:eastAsia="zh-CN"/>
        </w:rPr>
        <w:t>,</w:t>
      </w:r>
      <w:r>
        <w:rPr>
          <w:rFonts w:hint="eastAsia"/>
          <w:lang w:val="en-US" w:eastAsia="zh-CN"/>
        </w:rPr>
        <w:t xml:space="preserve"> the total time that an equipment makes use of an Operating Channel is defined as the Channel Occupancy Time, which shall be less than 9 ms, after which the device shall perform a LBT. </w:t>
      </w:r>
    </w:p>
    <w:p w:rsidR="00FC1DD4" w:rsidRDefault="00734F2E">
      <w:pPr>
        <w:jc w:val="both"/>
        <w:rPr>
          <w:rFonts w:eastAsia="宋体"/>
          <w:b/>
          <w:bCs/>
          <w:sz w:val="21"/>
          <w:szCs w:val="22"/>
          <w:lang w:val="en-US" w:eastAsia="zh-CN"/>
        </w:rPr>
      </w:pPr>
      <w:r>
        <w:rPr>
          <w:rFonts w:eastAsia="宋体" w:hint="eastAsia"/>
          <w:b/>
          <w:bCs/>
          <w:sz w:val="21"/>
          <w:szCs w:val="22"/>
          <w:lang w:val="en-US" w:eastAsia="zh-CN"/>
        </w:rPr>
        <w:t xml:space="preserve">Equivalent Isotropically Radiated Power (EIRP) and Power Spectral Density (PSD) </w:t>
      </w:r>
    </w:p>
    <w:p w:rsidR="00FC1DD4" w:rsidRDefault="00734F2E">
      <w:pPr>
        <w:jc w:val="both"/>
        <w:rPr>
          <w:lang w:val="en-US" w:eastAsia="zh-CN"/>
        </w:rPr>
      </w:pPr>
      <w:r>
        <w:rPr>
          <w:rFonts w:hint="eastAsia"/>
          <w:lang w:val="en-US" w:eastAsia="zh-CN"/>
        </w:rPr>
        <w:t>In TR 38.807 [3], the following regulatory requirements in different regions were provided:</w:t>
      </w:r>
    </w:p>
    <w:tbl>
      <w:tblPr>
        <w:tblStyle w:val="TableGrid"/>
        <w:tblW w:w="9620" w:type="dxa"/>
        <w:jc w:val="center"/>
        <w:tblLayout w:type="fixed"/>
        <w:tblLook w:val="04A0" w:firstRow="1" w:lastRow="0" w:firstColumn="1" w:lastColumn="0" w:noHBand="0" w:noVBand="1"/>
      </w:tblPr>
      <w:tblGrid>
        <w:gridCol w:w="1402"/>
        <w:gridCol w:w="2433"/>
        <w:gridCol w:w="3945"/>
        <w:gridCol w:w="1840"/>
      </w:tblGrid>
      <w:tr w:rsidR="00FC1DD4">
        <w:trPr>
          <w:jc w:val="center"/>
        </w:trPr>
        <w:tc>
          <w:tcPr>
            <w:tcW w:w="1402" w:type="dxa"/>
            <w:shd w:val="clear" w:color="auto" w:fill="E2EFD9" w:themeFill="accent6" w:themeFillTint="32"/>
            <w:vAlign w:val="center"/>
          </w:tcPr>
          <w:p w:rsidR="00FC1DD4" w:rsidRDefault="00734F2E">
            <w:pPr>
              <w:spacing w:after="0" w:line="240" w:lineRule="auto"/>
              <w:jc w:val="center"/>
              <w:rPr>
                <w:b/>
                <w:bCs/>
                <w:lang w:val="en-US" w:eastAsia="zh-CN"/>
              </w:rPr>
            </w:pPr>
            <w:r>
              <w:rPr>
                <w:b/>
                <w:bCs/>
                <w:lang w:val="en-US" w:eastAsia="zh-CN"/>
              </w:rPr>
              <w:t>Country</w:t>
            </w:r>
          </w:p>
        </w:tc>
        <w:tc>
          <w:tcPr>
            <w:tcW w:w="2433" w:type="dxa"/>
            <w:shd w:val="clear" w:color="auto" w:fill="E2EFD9" w:themeFill="accent6" w:themeFillTint="32"/>
            <w:vAlign w:val="center"/>
          </w:tcPr>
          <w:p w:rsidR="00FC1DD4" w:rsidRDefault="00734F2E">
            <w:pPr>
              <w:spacing w:after="0" w:line="240" w:lineRule="auto"/>
              <w:jc w:val="center"/>
              <w:rPr>
                <w:b/>
                <w:bCs/>
                <w:lang w:val="en-US" w:eastAsia="zh-CN"/>
              </w:rPr>
            </w:pPr>
            <w:r>
              <w:rPr>
                <w:b/>
                <w:bCs/>
                <w:lang w:val="en-US" w:eastAsia="zh-CN"/>
              </w:rPr>
              <w:t>Frequency band (GHz)</w:t>
            </w:r>
          </w:p>
        </w:tc>
        <w:tc>
          <w:tcPr>
            <w:tcW w:w="3945" w:type="dxa"/>
            <w:shd w:val="clear" w:color="auto" w:fill="E2EFD9" w:themeFill="accent6" w:themeFillTint="32"/>
            <w:vAlign w:val="center"/>
          </w:tcPr>
          <w:p w:rsidR="00FC1DD4" w:rsidRDefault="00734F2E">
            <w:pPr>
              <w:spacing w:after="0" w:line="240" w:lineRule="auto"/>
              <w:jc w:val="center"/>
              <w:rPr>
                <w:b/>
                <w:bCs/>
                <w:lang w:val="en-US" w:eastAsia="zh-CN"/>
              </w:rPr>
            </w:pPr>
            <w:r>
              <w:rPr>
                <w:b/>
                <w:bCs/>
                <w:lang w:val="en-US" w:eastAsia="zh-CN"/>
              </w:rPr>
              <w:t>EIRP</w:t>
            </w:r>
          </w:p>
        </w:tc>
        <w:tc>
          <w:tcPr>
            <w:tcW w:w="1840" w:type="dxa"/>
            <w:shd w:val="clear" w:color="auto" w:fill="E2EFD9" w:themeFill="accent6" w:themeFillTint="32"/>
            <w:vAlign w:val="center"/>
          </w:tcPr>
          <w:p w:rsidR="00FC1DD4" w:rsidRDefault="00734F2E">
            <w:pPr>
              <w:spacing w:after="0" w:line="240" w:lineRule="auto"/>
              <w:jc w:val="center"/>
              <w:rPr>
                <w:b/>
                <w:bCs/>
                <w:lang w:val="en-US" w:eastAsia="zh-CN"/>
              </w:rPr>
            </w:pPr>
            <w:r>
              <w:rPr>
                <w:b/>
                <w:bCs/>
                <w:lang w:val="en-US" w:eastAsia="zh-CN"/>
              </w:rPr>
              <w:t>PSD</w:t>
            </w:r>
          </w:p>
        </w:tc>
      </w:tr>
      <w:tr w:rsidR="00FC1DD4">
        <w:trPr>
          <w:trHeight w:val="228"/>
          <w:jc w:val="center"/>
        </w:trPr>
        <w:tc>
          <w:tcPr>
            <w:tcW w:w="1402" w:type="dxa"/>
            <w:vAlign w:val="center"/>
          </w:tcPr>
          <w:p w:rsidR="00FC1DD4" w:rsidRDefault="00734F2E">
            <w:pPr>
              <w:spacing w:after="0" w:line="240" w:lineRule="auto"/>
              <w:jc w:val="center"/>
              <w:rPr>
                <w:lang w:val="en-US" w:eastAsia="zh-CN"/>
              </w:rPr>
            </w:pPr>
            <w:r>
              <w:rPr>
                <w:lang w:val="en-US" w:eastAsia="zh-CN"/>
              </w:rPr>
              <w:t>Europe</w:t>
            </w:r>
          </w:p>
        </w:tc>
        <w:tc>
          <w:tcPr>
            <w:tcW w:w="2433" w:type="dxa"/>
            <w:vAlign w:val="center"/>
          </w:tcPr>
          <w:p w:rsidR="00FC1DD4" w:rsidRDefault="00734F2E">
            <w:pPr>
              <w:spacing w:after="0" w:line="240" w:lineRule="auto"/>
              <w:jc w:val="center"/>
              <w:rPr>
                <w:lang w:val="en-US" w:eastAsia="zh-CN"/>
              </w:rPr>
            </w:pPr>
            <w:r>
              <w:rPr>
                <w:lang w:val="en-US" w:eastAsia="zh-CN"/>
              </w:rPr>
              <w:t>57-66</w:t>
            </w:r>
          </w:p>
        </w:tc>
        <w:tc>
          <w:tcPr>
            <w:tcW w:w="3945" w:type="dxa"/>
            <w:vAlign w:val="center"/>
          </w:tcPr>
          <w:p w:rsidR="00FC1DD4" w:rsidRDefault="00734F2E">
            <w:pPr>
              <w:spacing w:after="0" w:line="240" w:lineRule="auto"/>
              <w:jc w:val="center"/>
              <w:rPr>
                <w:lang w:val="en-US" w:eastAsia="zh-CN"/>
              </w:rPr>
            </w:pPr>
            <w:r>
              <w:rPr>
                <w:lang w:val="en-US" w:eastAsia="zh-CN"/>
              </w:rPr>
              <w:t>Mean EIRP = 40dBm</w:t>
            </w:r>
          </w:p>
        </w:tc>
        <w:tc>
          <w:tcPr>
            <w:tcW w:w="1840" w:type="dxa"/>
            <w:vAlign w:val="center"/>
          </w:tcPr>
          <w:p w:rsidR="00FC1DD4" w:rsidRDefault="00734F2E">
            <w:pPr>
              <w:spacing w:after="0" w:line="240" w:lineRule="auto"/>
              <w:jc w:val="center"/>
              <w:rPr>
                <w:lang w:val="en-US" w:eastAsia="zh-CN"/>
              </w:rPr>
            </w:pPr>
            <w:r>
              <w:rPr>
                <w:lang w:val="en-US" w:eastAsia="zh-CN"/>
              </w:rPr>
              <w:t>13 dBm/MHz</w:t>
            </w:r>
          </w:p>
        </w:tc>
      </w:tr>
      <w:tr w:rsidR="00FC1DD4">
        <w:trPr>
          <w:jc w:val="center"/>
        </w:trPr>
        <w:tc>
          <w:tcPr>
            <w:tcW w:w="1402" w:type="dxa"/>
            <w:vMerge w:val="restart"/>
            <w:vAlign w:val="center"/>
          </w:tcPr>
          <w:p w:rsidR="00FC1DD4" w:rsidRDefault="00734F2E">
            <w:pPr>
              <w:spacing w:after="0" w:line="240" w:lineRule="auto"/>
              <w:jc w:val="center"/>
              <w:rPr>
                <w:lang w:val="en-US" w:eastAsia="zh-CN"/>
              </w:rPr>
            </w:pPr>
            <w:r>
              <w:t>South Africa</w:t>
            </w:r>
          </w:p>
        </w:tc>
        <w:tc>
          <w:tcPr>
            <w:tcW w:w="2433" w:type="dxa"/>
            <w:vAlign w:val="center"/>
          </w:tcPr>
          <w:p w:rsidR="00FC1DD4" w:rsidRDefault="00734F2E">
            <w:pPr>
              <w:spacing w:after="0" w:line="240" w:lineRule="auto"/>
              <w:jc w:val="center"/>
              <w:rPr>
                <w:lang w:val="en-US" w:eastAsia="zh-CN"/>
              </w:rPr>
            </w:pPr>
            <w:r>
              <w:rPr>
                <w:lang w:val="en-US" w:eastAsia="zh-CN"/>
              </w:rPr>
              <w:t>57-64</w:t>
            </w:r>
          </w:p>
        </w:tc>
        <w:tc>
          <w:tcPr>
            <w:tcW w:w="3945" w:type="dxa"/>
            <w:vAlign w:val="center"/>
          </w:tcPr>
          <w:p w:rsidR="00FC1DD4" w:rsidRDefault="00734F2E">
            <w:pPr>
              <w:spacing w:after="0" w:line="240" w:lineRule="auto"/>
              <w:jc w:val="center"/>
              <w:rPr>
                <w:lang w:val="en-US" w:eastAsia="zh-CN"/>
              </w:rPr>
            </w:pPr>
            <w:r>
              <w:rPr>
                <w:lang w:val="en-US" w:eastAsia="zh-CN"/>
              </w:rPr>
              <w:t>Max EIRP 55dBm</w:t>
            </w:r>
          </w:p>
          <w:p w:rsidR="00FC1DD4" w:rsidRDefault="00734F2E">
            <w:pPr>
              <w:spacing w:after="0" w:line="240" w:lineRule="auto"/>
              <w:jc w:val="center"/>
              <w:rPr>
                <w:lang w:val="en-US" w:eastAsia="zh-CN"/>
              </w:rPr>
            </w:pPr>
            <w:r>
              <w:rPr>
                <w:lang w:val="en-US" w:eastAsia="zh-CN"/>
              </w:rPr>
              <w:t>Max Tx power 10dBm.</w:t>
            </w:r>
          </w:p>
          <w:p w:rsidR="00FC1DD4" w:rsidRDefault="00734F2E">
            <w:pPr>
              <w:spacing w:after="0" w:line="240" w:lineRule="auto"/>
              <w:jc w:val="center"/>
              <w:rPr>
                <w:lang w:val="en-US" w:eastAsia="zh-CN"/>
              </w:rPr>
            </w:pPr>
            <w:r>
              <w:rPr>
                <w:lang w:val="en-US" w:eastAsia="zh-CN"/>
              </w:rPr>
              <w:t>Min antenna gain 30dBi.</w:t>
            </w:r>
          </w:p>
        </w:tc>
        <w:tc>
          <w:tcPr>
            <w:tcW w:w="1840" w:type="dxa"/>
            <w:vAlign w:val="center"/>
          </w:tcPr>
          <w:p w:rsidR="00FC1DD4" w:rsidRDefault="00734F2E">
            <w:pPr>
              <w:spacing w:after="0" w:line="240" w:lineRule="auto"/>
              <w:jc w:val="center"/>
              <w:rPr>
                <w:lang w:val="en-US" w:eastAsia="zh-CN"/>
              </w:rPr>
            </w:pPr>
            <w:r>
              <w:rPr>
                <w:lang w:val="en-US" w:eastAsia="zh-CN"/>
              </w:rPr>
              <w:t>/</w:t>
            </w:r>
          </w:p>
        </w:tc>
      </w:tr>
      <w:tr w:rsidR="00FC1DD4">
        <w:trPr>
          <w:jc w:val="center"/>
        </w:trPr>
        <w:tc>
          <w:tcPr>
            <w:tcW w:w="1402" w:type="dxa"/>
            <w:vMerge/>
            <w:vAlign w:val="center"/>
          </w:tcPr>
          <w:p w:rsidR="00FC1DD4" w:rsidRDefault="00FC1DD4">
            <w:pPr>
              <w:spacing w:after="0" w:line="240" w:lineRule="auto"/>
              <w:jc w:val="center"/>
              <w:rPr>
                <w:lang w:val="en-US" w:eastAsia="zh-CN"/>
              </w:rPr>
            </w:pPr>
          </w:p>
        </w:tc>
        <w:tc>
          <w:tcPr>
            <w:tcW w:w="2433" w:type="dxa"/>
            <w:vAlign w:val="center"/>
          </w:tcPr>
          <w:p w:rsidR="00FC1DD4" w:rsidRDefault="00734F2E">
            <w:pPr>
              <w:spacing w:after="0" w:line="240" w:lineRule="auto"/>
              <w:jc w:val="center"/>
              <w:rPr>
                <w:lang w:val="en-US" w:eastAsia="zh-CN"/>
              </w:rPr>
            </w:pPr>
            <w:r>
              <w:rPr>
                <w:lang w:val="en-US" w:eastAsia="zh-CN"/>
              </w:rPr>
              <w:t>57-66</w:t>
            </w:r>
          </w:p>
        </w:tc>
        <w:tc>
          <w:tcPr>
            <w:tcW w:w="3945" w:type="dxa"/>
            <w:vAlign w:val="center"/>
          </w:tcPr>
          <w:p w:rsidR="00FC1DD4" w:rsidRDefault="00734F2E">
            <w:pPr>
              <w:spacing w:after="0" w:line="240" w:lineRule="auto"/>
              <w:jc w:val="center"/>
              <w:rPr>
                <w:lang w:val="en-US" w:eastAsia="zh-CN"/>
              </w:rPr>
            </w:pPr>
            <w:r>
              <w:rPr>
                <w:lang w:val="en-US" w:eastAsia="zh-CN"/>
              </w:rPr>
              <w:t>Max EIRP 40dBm</w:t>
            </w:r>
          </w:p>
        </w:tc>
        <w:tc>
          <w:tcPr>
            <w:tcW w:w="1840" w:type="dxa"/>
            <w:vAlign w:val="center"/>
          </w:tcPr>
          <w:p w:rsidR="00FC1DD4" w:rsidRDefault="00734F2E">
            <w:pPr>
              <w:spacing w:after="0" w:line="240" w:lineRule="auto"/>
              <w:jc w:val="center"/>
              <w:rPr>
                <w:lang w:val="en-US" w:eastAsia="zh-CN"/>
              </w:rPr>
            </w:pPr>
            <w:r>
              <w:rPr>
                <w:lang w:val="en-US" w:eastAsia="zh-CN"/>
              </w:rPr>
              <w:t>/</w:t>
            </w:r>
          </w:p>
        </w:tc>
      </w:tr>
      <w:tr w:rsidR="00FC1DD4">
        <w:trPr>
          <w:jc w:val="center"/>
        </w:trPr>
        <w:tc>
          <w:tcPr>
            <w:tcW w:w="1402" w:type="dxa"/>
            <w:vMerge w:val="restart"/>
            <w:vAlign w:val="center"/>
          </w:tcPr>
          <w:p w:rsidR="00FC1DD4" w:rsidRDefault="00734F2E">
            <w:pPr>
              <w:spacing w:after="0" w:line="240" w:lineRule="auto"/>
              <w:jc w:val="center"/>
              <w:rPr>
                <w:lang w:val="en-US" w:eastAsia="zh-CN"/>
              </w:rPr>
            </w:pPr>
            <w:r>
              <w:rPr>
                <w:lang w:val="en-US" w:eastAsia="zh-CN"/>
              </w:rPr>
              <w:t>USA</w:t>
            </w:r>
          </w:p>
        </w:tc>
        <w:tc>
          <w:tcPr>
            <w:tcW w:w="2433" w:type="dxa"/>
            <w:vMerge w:val="restart"/>
            <w:vAlign w:val="center"/>
          </w:tcPr>
          <w:p w:rsidR="00FC1DD4" w:rsidRDefault="00734F2E">
            <w:pPr>
              <w:spacing w:after="0" w:line="240" w:lineRule="auto"/>
              <w:jc w:val="center"/>
              <w:rPr>
                <w:lang w:val="en-US" w:eastAsia="zh-CN"/>
              </w:rPr>
            </w:pPr>
            <w:r>
              <w:rPr>
                <w:lang w:val="en-US" w:eastAsia="zh-CN"/>
              </w:rPr>
              <w:t>57-71</w:t>
            </w:r>
          </w:p>
        </w:tc>
        <w:tc>
          <w:tcPr>
            <w:tcW w:w="3945" w:type="dxa"/>
            <w:vAlign w:val="center"/>
          </w:tcPr>
          <w:p w:rsidR="00FC1DD4" w:rsidRDefault="00734F2E">
            <w:pPr>
              <w:spacing w:after="0" w:line="240" w:lineRule="auto"/>
              <w:jc w:val="both"/>
              <w:rPr>
                <w:lang w:val="en-US" w:eastAsia="zh-CN"/>
              </w:rPr>
            </w:pPr>
            <w:r>
              <w:rPr>
                <w:lang w:val="en-US" w:eastAsia="zh-CN"/>
              </w:rPr>
              <w:t>Indoor:</w:t>
            </w:r>
          </w:p>
          <w:p w:rsidR="00FC1DD4" w:rsidRDefault="00734F2E">
            <w:pPr>
              <w:spacing w:after="0" w:line="240" w:lineRule="auto"/>
              <w:jc w:val="center"/>
              <w:rPr>
                <w:lang w:val="en-US" w:eastAsia="zh-CN"/>
              </w:rPr>
            </w:pPr>
            <w:r>
              <w:rPr>
                <w:lang w:val="en-US" w:eastAsia="zh-CN"/>
              </w:rPr>
              <w:t>Max avg, EIRP 40dBm</w:t>
            </w:r>
          </w:p>
          <w:p w:rsidR="00FC1DD4" w:rsidRDefault="00734F2E">
            <w:pPr>
              <w:spacing w:after="0" w:line="240" w:lineRule="auto"/>
              <w:jc w:val="center"/>
              <w:rPr>
                <w:lang w:val="en-US" w:eastAsia="zh-CN"/>
              </w:rPr>
            </w:pPr>
            <w:r>
              <w:rPr>
                <w:lang w:val="en-US" w:eastAsia="zh-CN"/>
              </w:rPr>
              <w:t>Max peak EIRP 43dBm</w:t>
            </w:r>
          </w:p>
          <w:p w:rsidR="00FC1DD4" w:rsidRDefault="00FC1DD4">
            <w:pPr>
              <w:spacing w:after="0" w:line="240" w:lineRule="auto"/>
              <w:jc w:val="both"/>
              <w:rPr>
                <w:lang w:val="en-US" w:eastAsia="zh-CN"/>
              </w:rPr>
            </w:pPr>
          </w:p>
        </w:tc>
        <w:tc>
          <w:tcPr>
            <w:tcW w:w="1840" w:type="dxa"/>
            <w:vMerge w:val="restart"/>
            <w:vAlign w:val="center"/>
          </w:tcPr>
          <w:p w:rsidR="00FC1DD4" w:rsidRDefault="00734F2E">
            <w:pPr>
              <w:spacing w:after="0" w:line="240" w:lineRule="auto"/>
              <w:jc w:val="center"/>
              <w:rPr>
                <w:lang w:val="en-US" w:eastAsia="zh-CN"/>
              </w:rPr>
            </w:pPr>
            <w:r>
              <w:rPr>
                <w:lang w:val="en-US" w:eastAsia="zh-CN"/>
              </w:rPr>
              <w:t>/</w:t>
            </w:r>
          </w:p>
        </w:tc>
      </w:tr>
      <w:tr w:rsidR="00FC1DD4">
        <w:trPr>
          <w:jc w:val="center"/>
        </w:trPr>
        <w:tc>
          <w:tcPr>
            <w:tcW w:w="1402" w:type="dxa"/>
            <w:vMerge/>
            <w:vAlign w:val="center"/>
          </w:tcPr>
          <w:p w:rsidR="00FC1DD4" w:rsidRDefault="00FC1DD4">
            <w:pPr>
              <w:spacing w:after="0" w:line="240" w:lineRule="auto"/>
              <w:jc w:val="center"/>
              <w:rPr>
                <w:lang w:val="en-US" w:eastAsia="zh-CN"/>
              </w:rPr>
            </w:pPr>
          </w:p>
        </w:tc>
        <w:tc>
          <w:tcPr>
            <w:tcW w:w="2433" w:type="dxa"/>
            <w:vMerge/>
            <w:vAlign w:val="center"/>
          </w:tcPr>
          <w:p w:rsidR="00FC1DD4" w:rsidRDefault="00FC1DD4">
            <w:pPr>
              <w:spacing w:after="0" w:line="240" w:lineRule="auto"/>
              <w:jc w:val="center"/>
              <w:rPr>
                <w:lang w:val="en-US" w:eastAsia="zh-CN"/>
              </w:rPr>
            </w:pPr>
          </w:p>
        </w:tc>
        <w:tc>
          <w:tcPr>
            <w:tcW w:w="3945" w:type="dxa"/>
            <w:vAlign w:val="center"/>
          </w:tcPr>
          <w:p w:rsidR="00FC1DD4" w:rsidRDefault="00734F2E">
            <w:pPr>
              <w:spacing w:after="0" w:line="240" w:lineRule="auto"/>
              <w:jc w:val="both"/>
              <w:rPr>
                <w:lang w:val="en-US" w:eastAsia="zh-CN"/>
              </w:rPr>
            </w:pPr>
            <w:r>
              <w:rPr>
                <w:lang w:val="en-US" w:eastAsia="zh-CN"/>
              </w:rPr>
              <w:t>Outdoor:</w:t>
            </w:r>
          </w:p>
          <w:p w:rsidR="00FC1DD4" w:rsidRDefault="00734F2E">
            <w:pPr>
              <w:spacing w:after="0" w:line="240" w:lineRule="auto"/>
              <w:jc w:val="center"/>
              <w:rPr>
                <w:lang w:val="en-US" w:eastAsia="zh-CN"/>
              </w:rPr>
            </w:pPr>
            <w:r>
              <w:rPr>
                <w:lang w:val="en-US" w:eastAsia="zh-CN"/>
              </w:rPr>
              <w:t>Max avg. EIRP (82 – 2N) dBm</w:t>
            </w:r>
          </w:p>
          <w:p w:rsidR="00FC1DD4" w:rsidRDefault="00734F2E">
            <w:pPr>
              <w:spacing w:after="0" w:line="240" w:lineRule="auto"/>
              <w:jc w:val="center"/>
              <w:rPr>
                <w:lang w:val="en-US" w:eastAsia="zh-CN"/>
              </w:rPr>
            </w:pPr>
            <w:r>
              <w:rPr>
                <w:lang w:val="en-US" w:eastAsia="zh-CN"/>
              </w:rPr>
              <w:t>Max peak EIRP (85 – 2N) dBm.</w:t>
            </w:r>
          </w:p>
          <w:p w:rsidR="00FC1DD4" w:rsidRDefault="00734F2E">
            <w:pPr>
              <w:spacing w:after="0" w:line="240" w:lineRule="auto"/>
              <w:jc w:val="center"/>
              <w:rPr>
                <w:lang w:val="en-US" w:eastAsia="zh-CN"/>
              </w:rPr>
            </w:pPr>
            <w:r>
              <w:rPr>
                <w:lang w:val="en-US" w:eastAsia="zh-CN"/>
              </w:rPr>
              <w:t>N = max(0, 51 dBi – antenna-gain)</w:t>
            </w:r>
          </w:p>
        </w:tc>
        <w:tc>
          <w:tcPr>
            <w:tcW w:w="1840" w:type="dxa"/>
            <w:vMerge/>
            <w:vAlign w:val="center"/>
          </w:tcPr>
          <w:p w:rsidR="00FC1DD4" w:rsidRDefault="00FC1DD4">
            <w:pPr>
              <w:spacing w:after="0" w:line="240" w:lineRule="auto"/>
              <w:jc w:val="center"/>
              <w:rPr>
                <w:lang w:val="en-US" w:eastAsia="zh-CN"/>
              </w:rPr>
            </w:pPr>
          </w:p>
        </w:tc>
      </w:tr>
      <w:tr w:rsidR="00FC1DD4">
        <w:trPr>
          <w:jc w:val="center"/>
        </w:trPr>
        <w:tc>
          <w:tcPr>
            <w:tcW w:w="1402" w:type="dxa"/>
            <w:vMerge w:val="restart"/>
            <w:vAlign w:val="center"/>
          </w:tcPr>
          <w:p w:rsidR="00FC1DD4" w:rsidRDefault="00734F2E">
            <w:pPr>
              <w:spacing w:after="0" w:line="240" w:lineRule="auto"/>
              <w:jc w:val="center"/>
              <w:rPr>
                <w:lang w:val="en-US" w:eastAsia="zh-CN"/>
              </w:rPr>
            </w:pPr>
            <w:r>
              <w:t>Canada</w:t>
            </w:r>
          </w:p>
        </w:tc>
        <w:tc>
          <w:tcPr>
            <w:tcW w:w="2433" w:type="dxa"/>
            <w:vMerge w:val="restart"/>
            <w:vAlign w:val="center"/>
          </w:tcPr>
          <w:p w:rsidR="00FC1DD4" w:rsidRDefault="00734F2E">
            <w:pPr>
              <w:spacing w:after="0" w:line="240" w:lineRule="auto"/>
              <w:jc w:val="center"/>
              <w:rPr>
                <w:lang w:val="en-US" w:eastAsia="zh-CN"/>
              </w:rPr>
            </w:pPr>
            <w:r>
              <w:rPr>
                <w:lang w:val="en-US" w:eastAsia="zh-CN"/>
              </w:rPr>
              <w:t>57-64</w:t>
            </w:r>
          </w:p>
        </w:tc>
        <w:tc>
          <w:tcPr>
            <w:tcW w:w="3945" w:type="dxa"/>
            <w:vAlign w:val="center"/>
          </w:tcPr>
          <w:p w:rsidR="00FC1DD4" w:rsidRDefault="00734F2E">
            <w:pPr>
              <w:spacing w:after="0" w:line="240" w:lineRule="auto"/>
              <w:jc w:val="both"/>
              <w:rPr>
                <w:lang w:val="en-US" w:eastAsia="zh-CN"/>
              </w:rPr>
            </w:pPr>
            <w:r>
              <w:rPr>
                <w:lang w:val="en-US" w:eastAsia="zh-CN"/>
              </w:rPr>
              <w:t xml:space="preserve">Indoor: </w:t>
            </w:r>
          </w:p>
          <w:p w:rsidR="00FC1DD4" w:rsidRDefault="00734F2E">
            <w:pPr>
              <w:spacing w:after="0" w:line="240" w:lineRule="auto"/>
              <w:jc w:val="center"/>
              <w:rPr>
                <w:lang w:val="en-US" w:eastAsia="zh-CN"/>
              </w:rPr>
            </w:pPr>
            <w:r>
              <w:rPr>
                <w:lang w:val="en-US" w:eastAsia="zh-CN"/>
              </w:rPr>
              <w:t>40dBm avg/43dBm Peak</w:t>
            </w:r>
          </w:p>
        </w:tc>
        <w:tc>
          <w:tcPr>
            <w:tcW w:w="1840" w:type="dxa"/>
            <w:vMerge w:val="restart"/>
            <w:vAlign w:val="center"/>
          </w:tcPr>
          <w:p w:rsidR="00FC1DD4" w:rsidRDefault="00734F2E">
            <w:pPr>
              <w:spacing w:after="0" w:line="240" w:lineRule="auto"/>
              <w:jc w:val="center"/>
              <w:rPr>
                <w:lang w:val="en-US" w:eastAsia="zh-CN"/>
              </w:rPr>
            </w:pPr>
            <w:r>
              <w:rPr>
                <w:lang w:val="en-US" w:eastAsia="zh-CN"/>
              </w:rPr>
              <w:t>/</w:t>
            </w:r>
          </w:p>
        </w:tc>
      </w:tr>
      <w:tr w:rsidR="00FC1DD4">
        <w:trPr>
          <w:jc w:val="center"/>
        </w:trPr>
        <w:tc>
          <w:tcPr>
            <w:tcW w:w="1402" w:type="dxa"/>
            <w:vMerge/>
            <w:vAlign w:val="center"/>
          </w:tcPr>
          <w:p w:rsidR="00FC1DD4" w:rsidRDefault="00FC1DD4">
            <w:pPr>
              <w:spacing w:after="0" w:line="240" w:lineRule="auto"/>
              <w:jc w:val="center"/>
              <w:rPr>
                <w:lang w:val="en-US" w:eastAsia="zh-CN"/>
              </w:rPr>
            </w:pPr>
          </w:p>
        </w:tc>
        <w:tc>
          <w:tcPr>
            <w:tcW w:w="2433" w:type="dxa"/>
            <w:vMerge/>
            <w:vAlign w:val="center"/>
          </w:tcPr>
          <w:p w:rsidR="00FC1DD4" w:rsidRDefault="00FC1DD4">
            <w:pPr>
              <w:spacing w:after="0" w:line="240" w:lineRule="auto"/>
              <w:jc w:val="center"/>
              <w:rPr>
                <w:lang w:val="en-US" w:eastAsia="zh-CN"/>
              </w:rPr>
            </w:pPr>
          </w:p>
        </w:tc>
        <w:tc>
          <w:tcPr>
            <w:tcW w:w="3945" w:type="dxa"/>
            <w:vAlign w:val="center"/>
          </w:tcPr>
          <w:p w:rsidR="00FC1DD4" w:rsidRDefault="00734F2E">
            <w:pPr>
              <w:spacing w:after="0" w:line="240" w:lineRule="auto"/>
              <w:jc w:val="both"/>
              <w:rPr>
                <w:lang w:val="en-US" w:eastAsia="zh-CN"/>
              </w:rPr>
            </w:pPr>
            <w:r>
              <w:rPr>
                <w:lang w:val="en-US" w:eastAsia="zh-CN"/>
              </w:rPr>
              <w:t xml:space="preserve">Outdoor PtP: </w:t>
            </w:r>
          </w:p>
          <w:p w:rsidR="00FC1DD4" w:rsidRDefault="00734F2E">
            <w:pPr>
              <w:spacing w:after="0" w:line="240" w:lineRule="auto"/>
              <w:jc w:val="center"/>
              <w:rPr>
                <w:lang w:val="en-US" w:eastAsia="zh-CN"/>
              </w:rPr>
            </w:pPr>
            <w:r>
              <w:rPr>
                <w:lang w:val="en-US" w:eastAsia="zh-CN"/>
              </w:rPr>
              <w:t>82dBm when Gant&gt;51dBi;</w:t>
            </w:r>
          </w:p>
          <w:p w:rsidR="00FC1DD4" w:rsidRDefault="00734F2E">
            <w:pPr>
              <w:spacing w:after="0" w:line="240" w:lineRule="auto"/>
              <w:jc w:val="center"/>
              <w:rPr>
                <w:lang w:val="en-US" w:eastAsia="zh-CN"/>
              </w:rPr>
            </w:pPr>
            <w:r>
              <w:rPr>
                <w:lang w:val="en-US" w:eastAsia="zh-CN"/>
              </w:rPr>
              <w:t>82-2× (51-Gant) when Gant</w:t>
            </w:r>
            <w:r>
              <w:rPr>
                <w:rFonts w:hint="eastAsia"/>
                <w:lang w:val="en-US" w:eastAsia="zh-CN"/>
              </w:rPr>
              <w:t>≤</w:t>
            </w:r>
            <w:r>
              <w:rPr>
                <w:lang w:val="en-US" w:eastAsia="zh-CN"/>
              </w:rPr>
              <w:t>51dBi</w:t>
            </w:r>
          </w:p>
        </w:tc>
        <w:tc>
          <w:tcPr>
            <w:tcW w:w="1840" w:type="dxa"/>
            <w:vMerge/>
            <w:vAlign w:val="center"/>
          </w:tcPr>
          <w:p w:rsidR="00FC1DD4" w:rsidRDefault="00FC1DD4">
            <w:pPr>
              <w:spacing w:after="0" w:line="240" w:lineRule="auto"/>
              <w:jc w:val="center"/>
              <w:rPr>
                <w:lang w:val="en-US" w:eastAsia="zh-CN"/>
              </w:rPr>
            </w:pPr>
          </w:p>
        </w:tc>
      </w:tr>
      <w:tr w:rsidR="00FC1DD4">
        <w:trPr>
          <w:jc w:val="center"/>
        </w:trPr>
        <w:tc>
          <w:tcPr>
            <w:tcW w:w="1402" w:type="dxa"/>
            <w:vAlign w:val="center"/>
          </w:tcPr>
          <w:p w:rsidR="00FC1DD4" w:rsidRDefault="00734F2E">
            <w:pPr>
              <w:spacing w:after="0" w:line="240" w:lineRule="auto"/>
              <w:jc w:val="center"/>
              <w:rPr>
                <w:lang w:val="en-US" w:eastAsia="zh-CN"/>
              </w:rPr>
            </w:pPr>
            <w:r>
              <w:rPr>
                <w:lang w:val="en-US" w:eastAsia="zh-CN"/>
              </w:rPr>
              <w:t>Brazil</w:t>
            </w:r>
          </w:p>
        </w:tc>
        <w:tc>
          <w:tcPr>
            <w:tcW w:w="2433" w:type="dxa"/>
            <w:vMerge/>
            <w:vAlign w:val="center"/>
          </w:tcPr>
          <w:p w:rsidR="00FC1DD4" w:rsidRDefault="00FC1DD4">
            <w:pPr>
              <w:spacing w:after="0" w:line="240" w:lineRule="auto"/>
              <w:jc w:val="center"/>
              <w:rPr>
                <w:lang w:val="en-US" w:eastAsia="zh-CN"/>
              </w:rPr>
            </w:pPr>
          </w:p>
        </w:tc>
        <w:tc>
          <w:tcPr>
            <w:tcW w:w="3945" w:type="dxa"/>
            <w:vAlign w:val="center"/>
          </w:tcPr>
          <w:p w:rsidR="00FC1DD4" w:rsidRDefault="00734F2E">
            <w:pPr>
              <w:pStyle w:val="TAL"/>
              <w:keepNext w:val="0"/>
              <w:keepLines w:val="0"/>
              <w:rPr>
                <w:rFonts w:ascii="Times New Roman" w:hAnsi="Times New Roman"/>
                <w:sz w:val="20"/>
              </w:rPr>
            </w:pPr>
            <w:r>
              <w:rPr>
                <w:rFonts w:ascii="Times New Roman" w:hAnsi="Times New Roman"/>
                <w:sz w:val="20"/>
              </w:rPr>
              <w:t>T</w:t>
            </w:r>
            <w:r>
              <w:rPr>
                <w:rFonts w:ascii="Times New Roman" w:eastAsia="Times New Roman" w:hAnsi="Times New Roman"/>
                <w:sz w:val="20"/>
                <w:lang w:val="en-US" w:eastAsia="zh-CN"/>
              </w:rPr>
              <w:t xml:space="preserve">otal Peak Power at transmitter output </w:t>
            </w:r>
            <w:r>
              <w:rPr>
                <w:rFonts w:ascii="Times New Roman" w:eastAsia="Times New Roman" w:hAnsi="Times New Roman" w:hint="eastAsia"/>
                <w:sz w:val="20"/>
                <w:lang w:val="en-US" w:eastAsia="zh-CN"/>
              </w:rPr>
              <w:t>≤</w:t>
            </w:r>
            <w:r>
              <w:rPr>
                <w:rFonts w:ascii="Times New Roman" w:eastAsia="Times New Roman" w:hAnsi="Times New Roman"/>
                <w:sz w:val="20"/>
                <w:lang w:val="en-US" w:eastAsia="zh-CN"/>
              </w:rPr>
              <w:t xml:space="preserve"> 27dBm (500mW)</w:t>
            </w:r>
          </w:p>
        </w:tc>
        <w:tc>
          <w:tcPr>
            <w:tcW w:w="1840" w:type="dxa"/>
            <w:vAlign w:val="center"/>
          </w:tcPr>
          <w:p w:rsidR="00FC1DD4" w:rsidRDefault="00734F2E">
            <w:pPr>
              <w:spacing w:after="0" w:line="240" w:lineRule="auto"/>
              <w:jc w:val="center"/>
            </w:pPr>
            <w:r>
              <w:t>Max avg. Power Density:</w:t>
            </w:r>
            <w:r>
              <w:rPr>
                <w:rFonts w:eastAsia="宋体"/>
                <w:lang w:val="en-US" w:eastAsia="zh-CN"/>
              </w:rPr>
              <w:t xml:space="preserve"> </w:t>
            </w:r>
            <w:r>
              <w:t>9 microW/cm^2 @3m</w:t>
            </w:r>
            <w:r>
              <w:br/>
            </w:r>
            <w:r>
              <w:br/>
              <w:t>Max peak Power Density: 18 microW/cm^2 @3m</w:t>
            </w:r>
          </w:p>
        </w:tc>
      </w:tr>
      <w:tr w:rsidR="00FC1DD4">
        <w:trPr>
          <w:jc w:val="center"/>
        </w:trPr>
        <w:tc>
          <w:tcPr>
            <w:tcW w:w="1402" w:type="dxa"/>
            <w:vAlign w:val="center"/>
          </w:tcPr>
          <w:p w:rsidR="00FC1DD4" w:rsidRDefault="00734F2E">
            <w:pPr>
              <w:spacing w:after="0" w:line="240" w:lineRule="auto"/>
              <w:jc w:val="center"/>
              <w:rPr>
                <w:lang w:val="en-US" w:eastAsia="zh-CN"/>
              </w:rPr>
            </w:pPr>
            <w:r>
              <w:rPr>
                <w:lang w:val="en-US" w:eastAsia="zh-CN"/>
              </w:rPr>
              <w:t>China</w:t>
            </w:r>
          </w:p>
        </w:tc>
        <w:tc>
          <w:tcPr>
            <w:tcW w:w="2433" w:type="dxa"/>
            <w:vAlign w:val="center"/>
          </w:tcPr>
          <w:p w:rsidR="00FC1DD4" w:rsidRDefault="00734F2E">
            <w:pPr>
              <w:spacing w:after="0" w:line="240" w:lineRule="auto"/>
              <w:jc w:val="center"/>
              <w:rPr>
                <w:rFonts w:eastAsia="宋体"/>
                <w:lang w:val="en-US" w:eastAsia="zh-CN"/>
              </w:rPr>
            </w:pPr>
            <w:r>
              <w:rPr>
                <w:rFonts w:eastAsia="宋体"/>
                <w:lang w:val="en-US" w:eastAsia="zh-CN"/>
              </w:rPr>
              <w:t>59-64</w:t>
            </w:r>
          </w:p>
        </w:tc>
        <w:tc>
          <w:tcPr>
            <w:tcW w:w="3945" w:type="dxa"/>
            <w:vAlign w:val="center"/>
          </w:tcPr>
          <w:p w:rsidR="00FC1DD4" w:rsidRDefault="00734F2E">
            <w:pPr>
              <w:pStyle w:val="TAL"/>
              <w:keepNext w:val="0"/>
              <w:keepLines w:val="0"/>
              <w:jc w:val="center"/>
              <w:rPr>
                <w:rFonts w:ascii="Times New Roman" w:hAnsi="Times New Roman"/>
                <w:sz w:val="20"/>
              </w:rPr>
            </w:pPr>
            <w:r>
              <w:rPr>
                <w:rFonts w:ascii="Times New Roman" w:hAnsi="Times New Roman"/>
                <w:sz w:val="20"/>
              </w:rPr>
              <w:t xml:space="preserve">Output power of antenna port: </w:t>
            </w:r>
            <w:r>
              <w:rPr>
                <w:rFonts w:ascii="Times New Roman" w:hAnsi="Times New Roman" w:hint="eastAsia"/>
                <w:sz w:val="20"/>
              </w:rPr>
              <w:t>≤</w:t>
            </w:r>
            <w:r>
              <w:rPr>
                <w:rFonts w:ascii="Times New Roman" w:hAnsi="Times New Roman"/>
                <w:sz w:val="20"/>
              </w:rPr>
              <w:t xml:space="preserve"> 10 dBm</w:t>
            </w:r>
          </w:p>
          <w:p w:rsidR="00FC1DD4" w:rsidRDefault="00FC1DD4">
            <w:pPr>
              <w:pStyle w:val="TAL"/>
              <w:keepNext w:val="0"/>
              <w:keepLines w:val="0"/>
              <w:jc w:val="center"/>
              <w:rPr>
                <w:rFonts w:ascii="Times New Roman" w:hAnsi="Times New Roman"/>
                <w:sz w:val="20"/>
              </w:rPr>
            </w:pPr>
          </w:p>
          <w:p w:rsidR="00FC1DD4" w:rsidRDefault="00734F2E">
            <w:pPr>
              <w:pStyle w:val="TAL"/>
              <w:keepNext w:val="0"/>
              <w:keepLines w:val="0"/>
              <w:jc w:val="center"/>
              <w:rPr>
                <w:rFonts w:ascii="Times New Roman" w:hAnsi="Times New Roman"/>
                <w:sz w:val="20"/>
              </w:rPr>
            </w:pPr>
            <w:r>
              <w:rPr>
                <w:rFonts w:ascii="Times New Roman" w:hAnsi="Times New Roman"/>
                <w:sz w:val="20"/>
              </w:rPr>
              <w:t>Peak  EIRP: 47dBm</w:t>
            </w:r>
          </w:p>
          <w:p w:rsidR="00FC1DD4" w:rsidRDefault="00734F2E">
            <w:pPr>
              <w:spacing w:after="0" w:line="240" w:lineRule="auto"/>
              <w:jc w:val="center"/>
            </w:pPr>
            <w:r>
              <w:t xml:space="preserve">Mean EIRP: </w:t>
            </w:r>
            <w:r>
              <w:rPr>
                <w:rFonts w:hint="eastAsia"/>
              </w:rPr>
              <w:t>≤</w:t>
            </w:r>
            <w:r>
              <w:t xml:space="preserve"> 44 dBm</w:t>
            </w:r>
          </w:p>
        </w:tc>
        <w:tc>
          <w:tcPr>
            <w:tcW w:w="1840" w:type="dxa"/>
            <w:vAlign w:val="center"/>
          </w:tcPr>
          <w:p w:rsidR="00FC1DD4" w:rsidRDefault="00734F2E">
            <w:pPr>
              <w:spacing w:after="0" w:line="240" w:lineRule="auto"/>
              <w:jc w:val="center"/>
              <w:rPr>
                <w:rFonts w:eastAsia="宋体"/>
                <w:lang w:val="en-US" w:eastAsia="zh-CN"/>
              </w:rPr>
            </w:pPr>
            <w:r>
              <w:rPr>
                <w:rFonts w:eastAsia="宋体"/>
                <w:lang w:val="en-US" w:eastAsia="zh-CN"/>
              </w:rPr>
              <w:t>/</w:t>
            </w:r>
          </w:p>
        </w:tc>
      </w:tr>
      <w:tr w:rsidR="00FC1DD4">
        <w:trPr>
          <w:jc w:val="center"/>
        </w:trPr>
        <w:tc>
          <w:tcPr>
            <w:tcW w:w="1402" w:type="dxa"/>
            <w:vAlign w:val="center"/>
          </w:tcPr>
          <w:p w:rsidR="00FC1DD4" w:rsidRDefault="00734F2E">
            <w:pPr>
              <w:spacing w:after="0" w:line="240" w:lineRule="auto"/>
              <w:jc w:val="center"/>
              <w:rPr>
                <w:lang w:val="en-US" w:eastAsia="zh-CN"/>
              </w:rPr>
            </w:pPr>
            <w:r>
              <w:rPr>
                <w:lang w:val="en-US" w:eastAsia="zh-CN"/>
              </w:rPr>
              <w:t>Korea</w:t>
            </w:r>
          </w:p>
        </w:tc>
        <w:tc>
          <w:tcPr>
            <w:tcW w:w="2433" w:type="dxa"/>
            <w:vAlign w:val="center"/>
          </w:tcPr>
          <w:p w:rsidR="00FC1DD4" w:rsidRDefault="00734F2E">
            <w:pPr>
              <w:pStyle w:val="TAL"/>
              <w:keepNext w:val="0"/>
              <w:keepLines w:val="0"/>
              <w:jc w:val="center"/>
              <w:rPr>
                <w:rFonts w:ascii="Times New Roman" w:hAnsi="Times New Roman"/>
                <w:sz w:val="20"/>
              </w:rPr>
            </w:pPr>
            <w:r>
              <w:rPr>
                <w:rFonts w:ascii="Times New Roman" w:hAnsi="Times New Roman"/>
                <w:sz w:val="20"/>
              </w:rPr>
              <w:t>57 – 66</w:t>
            </w:r>
          </w:p>
        </w:tc>
        <w:tc>
          <w:tcPr>
            <w:tcW w:w="3945" w:type="dxa"/>
            <w:vAlign w:val="center"/>
          </w:tcPr>
          <w:p w:rsidR="00FC1DD4" w:rsidRDefault="00734F2E">
            <w:pPr>
              <w:pStyle w:val="TAL"/>
              <w:keepNext w:val="0"/>
              <w:keepLines w:val="0"/>
              <w:jc w:val="center"/>
              <w:rPr>
                <w:rFonts w:ascii="Times New Roman" w:hAnsi="Times New Roman"/>
                <w:sz w:val="20"/>
              </w:rPr>
            </w:pPr>
            <w:r>
              <w:rPr>
                <w:rFonts w:ascii="Times New Roman" w:hAnsi="Times New Roman"/>
                <w:sz w:val="20"/>
              </w:rPr>
              <w:t>Max Tx power 500mW (beamformed antenna)</w:t>
            </w:r>
          </w:p>
          <w:p w:rsidR="00FC1DD4" w:rsidRDefault="00734F2E">
            <w:pPr>
              <w:pStyle w:val="TAL"/>
              <w:keepNext w:val="0"/>
              <w:keepLines w:val="0"/>
              <w:jc w:val="center"/>
              <w:rPr>
                <w:rFonts w:ascii="Times New Roman" w:hAnsi="Times New Roman"/>
                <w:sz w:val="20"/>
              </w:rPr>
            </w:pPr>
            <w:r>
              <w:rPr>
                <w:rFonts w:ascii="Times New Roman" w:hAnsi="Times New Roman"/>
                <w:sz w:val="20"/>
              </w:rPr>
              <w:t>Max Tx power 100mW (omni-direction antenna).</w:t>
            </w:r>
          </w:p>
          <w:p w:rsidR="00FC1DD4" w:rsidRDefault="00734F2E">
            <w:pPr>
              <w:pStyle w:val="TAL"/>
              <w:keepNext w:val="0"/>
              <w:keepLines w:val="0"/>
              <w:jc w:val="center"/>
              <w:rPr>
                <w:rFonts w:ascii="Times New Roman" w:hAnsi="Times New Roman"/>
                <w:sz w:val="20"/>
              </w:rPr>
            </w:pPr>
            <w:r>
              <w:rPr>
                <w:rFonts w:ascii="Times New Roman" w:hAnsi="Times New Roman"/>
                <w:sz w:val="20"/>
              </w:rPr>
              <w:t>Max PSD 13dBm/MHz</w:t>
            </w:r>
          </w:p>
          <w:p w:rsidR="00FC1DD4" w:rsidRDefault="00734F2E">
            <w:pPr>
              <w:pStyle w:val="TAL"/>
              <w:keepNext w:val="0"/>
              <w:keepLines w:val="0"/>
              <w:jc w:val="center"/>
              <w:rPr>
                <w:rFonts w:ascii="Times New Roman" w:hAnsi="Times New Roman"/>
                <w:sz w:val="20"/>
              </w:rPr>
            </w:pPr>
            <w:r>
              <w:rPr>
                <w:rFonts w:ascii="Times New Roman" w:hAnsi="Times New Roman"/>
                <w:sz w:val="20"/>
              </w:rPr>
              <w:t>Max EIRP 57dBm</w:t>
            </w:r>
          </w:p>
          <w:p w:rsidR="00FC1DD4" w:rsidRDefault="00734F2E">
            <w:pPr>
              <w:pStyle w:val="TAL"/>
              <w:keepNext w:val="0"/>
              <w:keepLines w:val="0"/>
              <w:jc w:val="center"/>
              <w:rPr>
                <w:rFonts w:ascii="Times New Roman" w:hAnsi="Times New Roman"/>
                <w:sz w:val="20"/>
              </w:rPr>
            </w:pPr>
            <w:r>
              <w:rPr>
                <w:rFonts w:ascii="Times New Roman" w:hAnsi="Times New Roman"/>
                <w:sz w:val="20"/>
              </w:rPr>
              <w:t>[Note 1]</w:t>
            </w:r>
          </w:p>
        </w:tc>
        <w:tc>
          <w:tcPr>
            <w:tcW w:w="1840" w:type="dxa"/>
            <w:vAlign w:val="center"/>
          </w:tcPr>
          <w:p w:rsidR="00FC1DD4" w:rsidRDefault="00734F2E">
            <w:pPr>
              <w:spacing w:after="0" w:line="240" w:lineRule="auto"/>
              <w:jc w:val="center"/>
              <w:rPr>
                <w:rFonts w:eastAsia="宋体"/>
                <w:lang w:val="en-US" w:eastAsia="zh-CN"/>
              </w:rPr>
            </w:pPr>
            <w:r>
              <w:rPr>
                <w:rFonts w:eastAsia="宋体"/>
                <w:lang w:val="en-US" w:eastAsia="zh-CN"/>
              </w:rPr>
              <w:t>/</w:t>
            </w:r>
          </w:p>
        </w:tc>
      </w:tr>
    </w:tbl>
    <w:p w:rsidR="00FC1DD4" w:rsidRDefault="00FC1DD4">
      <w:pPr>
        <w:jc w:val="both"/>
        <w:rPr>
          <w:lang w:val="en-US" w:eastAsia="zh-CN"/>
        </w:rPr>
      </w:pPr>
    </w:p>
    <w:p w:rsidR="00FC1DD4" w:rsidRDefault="00734F2E">
      <w:pPr>
        <w:jc w:val="both"/>
        <w:rPr>
          <w:rFonts w:eastAsia="宋体"/>
          <w:lang w:val="en-US" w:eastAsia="zh-CN"/>
        </w:rPr>
      </w:pPr>
      <w:r>
        <w:rPr>
          <w:rFonts w:hint="eastAsia"/>
          <w:lang w:val="en-US" w:eastAsia="zh-CN"/>
        </w:rPr>
        <w:t>Based on the above requirement in different areas, f</w:t>
      </w:r>
      <w:r>
        <w:rPr>
          <w:rFonts w:eastAsia="宋体" w:hint="eastAsia"/>
          <w:lang w:val="en-US" w:eastAsia="zh-CN"/>
        </w:rPr>
        <w:t>or wideband operation with the limitation of maximum EIRP and PSD, the PSD may be very low due to its total transmission power should be less than or equal to the maximum EIRP limitation, e.g., 40dBm for 57 GHz - 66 GHz band in South Africa. Too lower PSD will impact on NR-U coverage and system performance. Therefore, the challenge is how to solve the bandwidth and PSD problems related to LBT mechanisms for wider bandwidth.</w:t>
      </w:r>
    </w:p>
    <w:p w:rsidR="00FC1DD4" w:rsidRDefault="00734F2E">
      <w:pPr>
        <w:jc w:val="both"/>
        <w:rPr>
          <w:rFonts w:eastAsia="宋体"/>
          <w:lang w:val="en-US" w:eastAsia="zh-CN"/>
        </w:rPr>
      </w:pPr>
      <w:r>
        <w:rPr>
          <w:rFonts w:eastAsia="宋体" w:hint="eastAsia"/>
          <w:lang w:val="en-US" w:eastAsia="zh-CN"/>
        </w:rPr>
        <w:lastRenderedPageBreak/>
        <w:t>In summary, the above regulatory requirements should be supported for above 52.6 GHz. Further, some enhancement mechanism should be also studied deeply to achieve good spectrum sharing with other systems..</w:t>
      </w:r>
    </w:p>
    <w:p w:rsidR="00FC1DD4" w:rsidRDefault="00734F2E">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b/>
          <w:bCs/>
          <w:lang w:val="en-US" w:eastAsia="zh-CN"/>
        </w:rPr>
        <w:t>The following r</w:t>
      </w:r>
      <w:r>
        <w:rPr>
          <w:b/>
          <w:bCs/>
          <w:lang w:val="en-US"/>
        </w:rPr>
        <w:t xml:space="preserve">egulation rules </w:t>
      </w:r>
      <w:r>
        <w:rPr>
          <w:rFonts w:eastAsia="宋体" w:hint="eastAsia"/>
          <w:b/>
          <w:bCs/>
          <w:lang w:val="en-US" w:eastAsia="zh-CN"/>
        </w:rPr>
        <w:t>for above 52.6 GHz</w:t>
      </w:r>
      <w:r>
        <w:rPr>
          <w:b/>
          <w:bCs/>
          <w:lang w:val="en-US"/>
        </w:rPr>
        <w:t xml:space="preserve">, </w:t>
      </w:r>
      <w:r>
        <w:rPr>
          <w:rFonts w:eastAsia="宋体" w:hint="eastAsia"/>
          <w:b/>
          <w:bCs/>
          <w:lang w:val="en-US" w:eastAsia="zh-CN"/>
        </w:rPr>
        <w:t>including</w:t>
      </w:r>
      <w:r>
        <w:rPr>
          <w:b/>
          <w:bCs/>
          <w:lang w:val="en-US"/>
        </w:rPr>
        <w:t xml:space="preserve"> channel access,</w:t>
      </w:r>
      <w:r>
        <w:rPr>
          <w:rFonts w:eastAsia="宋体" w:hint="eastAsia"/>
          <w:b/>
          <w:bCs/>
          <w:lang w:val="en-US" w:eastAsia="zh-CN"/>
        </w:rPr>
        <w:t xml:space="preserve"> OCB, COT, EIRP and PSD</w:t>
      </w:r>
      <w:r>
        <w:rPr>
          <w:b/>
          <w:bCs/>
          <w:lang w:val="en-US"/>
        </w:rPr>
        <w:t xml:space="preserve"> </w:t>
      </w:r>
      <w:r>
        <w:rPr>
          <w:rFonts w:eastAsia="宋体" w:hint="eastAsia"/>
          <w:b/>
          <w:bCs/>
          <w:lang w:val="en-US" w:eastAsia="zh-CN"/>
        </w:rPr>
        <w:t xml:space="preserve">should be supported and enhanced </w:t>
      </w:r>
      <w:r>
        <w:rPr>
          <w:b/>
          <w:bCs/>
          <w:lang w:val="en-US"/>
        </w:rPr>
        <w:t>to achieve good spectrum sharing</w:t>
      </w:r>
      <w:r>
        <w:rPr>
          <w:rFonts w:eastAsia="宋体" w:hint="eastAsia"/>
          <w:b/>
          <w:bCs/>
          <w:lang w:val="en-US" w:eastAsia="zh-CN"/>
        </w:rPr>
        <w:t xml:space="preserve"> with other systems.</w:t>
      </w:r>
    </w:p>
    <w:p w:rsidR="00FC1DD4" w:rsidRDefault="00734F2E">
      <w:pPr>
        <w:pStyle w:val="Heading2"/>
        <w:spacing w:after="240" w:line="260" w:lineRule="auto"/>
        <w:ind w:left="510" w:hanging="510"/>
        <w:jc w:val="both"/>
        <w:rPr>
          <w:rFonts w:ascii="Times New Roman" w:hAnsi="Times New Roman"/>
          <w:b/>
          <w:bCs w:val="0"/>
          <w:lang w:val="en-US" w:eastAsia="zh-CN"/>
        </w:rPr>
      </w:pPr>
      <w:bookmarkStart w:id="5" w:name="_Toc28873153"/>
      <w:r>
        <w:rPr>
          <w:rFonts w:ascii="Times New Roman" w:hAnsi="Times New Roman"/>
          <w:b/>
          <w:bCs w:val="0"/>
          <w:lang w:val="en-US" w:eastAsia="zh-CN"/>
        </w:rPr>
        <w:t xml:space="preserve"> Channel access mechanism for above 52.6 GHz</w:t>
      </w:r>
    </w:p>
    <w:p w:rsidR="00FC1DD4" w:rsidRDefault="00734F2E">
      <w:pPr>
        <w:pStyle w:val="Heading3"/>
        <w:rPr>
          <w:rFonts w:ascii="Times New Roman" w:hAnsi="Times New Roman" w:cs="Times New Roman"/>
          <w:b/>
          <w:bCs w:val="0"/>
          <w:lang w:val="en-US" w:eastAsia="zh-CN"/>
        </w:rPr>
      </w:pPr>
      <w:r>
        <w:rPr>
          <w:rFonts w:ascii="Times New Roman" w:hAnsi="Times New Roman" w:cs="Times New Roman" w:hint="eastAsia"/>
          <w:b/>
          <w:bCs w:val="0"/>
          <w:lang w:val="en-US" w:eastAsia="zh-CN"/>
        </w:rPr>
        <w:t xml:space="preserve"> Omni-directional LBT</w:t>
      </w:r>
    </w:p>
    <w:p w:rsidR="00FC1DD4" w:rsidRDefault="00734F2E">
      <w:pPr>
        <w:tabs>
          <w:tab w:val="left" w:pos="450"/>
          <w:tab w:val="left" w:pos="720"/>
        </w:tabs>
        <w:jc w:val="both"/>
        <w:rPr>
          <w:lang w:val="en-US" w:eastAsia="zh-CN"/>
        </w:rPr>
      </w:pPr>
      <w:r>
        <w:rPr>
          <w:rFonts w:hint="eastAsia"/>
          <w:lang w:val="en-US" w:eastAsia="zh-CN"/>
        </w:rPr>
        <w:t>In low frequency (e.g., below 7 GHz), in order to guarantee fair coexistence with the incumbe</w:t>
      </w:r>
      <w:r>
        <w:rPr>
          <w:rFonts w:eastAsia="宋体" w:hint="eastAsia"/>
          <w:lang w:val="en-US" w:eastAsia="zh-CN"/>
        </w:rPr>
        <w:t>nt</w:t>
      </w:r>
      <w:r>
        <w:rPr>
          <w:rFonts w:hint="eastAsia"/>
          <w:lang w:val="en-US" w:eastAsia="zh-CN"/>
        </w:rPr>
        <w:t xml:space="preserve"> Wi-Fi system such as 802.11 ac/ax in the unlicensed carrier, omni-directional LBT with energy detection considering no array gain was introduced in LTE-LAA/eLAA/FeLAA/NR-U. </w:t>
      </w:r>
    </w:p>
    <w:p w:rsidR="00FC1DD4" w:rsidRDefault="00734F2E">
      <w:pPr>
        <w:tabs>
          <w:tab w:val="left" w:pos="450"/>
          <w:tab w:val="left" w:pos="720"/>
        </w:tabs>
        <w:jc w:val="both"/>
        <w:rPr>
          <w:lang w:val="en-US" w:eastAsia="zh-CN"/>
        </w:rPr>
      </w:pPr>
      <w:r>
        <w:rPr>
          <w:rFonts w:hint="eastAsia"/>
          <w:lang w:val="en-US" w:eastAsia="zh-CN"/>
        </w:rPr>
        <w:t xml:space="preserve">In high frequency, similar omni-directional LBT is used in IEEE 802.11 ad/ay for 60 GHz frequency band. However, for release 17 NR-U, if such omni-directional LBT is simply copied in NR-U above 52.6 GHz frequency band, this will be able to cause a sensing inaccuracy problem, or </w:t>
      </w:r>
      <w:r>
        <w:rPr>
          <w:lang w:val="en-US" w:eastAsia="zh-CN"/>
        </w:rPr>
        <w:t>“</w:t>
      </w:r>
      <w:r>
        <w:rPr>
          <w:rFonts w:hint="eastAsia"/>
          <w:lang w:val="en-US" w:eastAsia="zh-CN"/>
        </w:rPr>
        <w:t>over protection</w:t>
      </w:r>
      <w:r>
        <w:rPr>
          <w:lang w:val="en-US" w:eastAsia="zh-CN"/>
        </w:rPr>
        <w:t>”</w:t>
      </w:r>
      <w:r>
        <w:rPr>
          <w:rFonts w:hint="eastAsia"/>
          <w:lang w:val="en-US" w:eastAsia="zh-CN"/>
        </w:rPr>
        <w:t xml:space="preserve"> issue. </w:t>
      </w:r>
    </w:p>
    <w:p w:rsidR="00FC1DD4" w:rsidRDefault="00734F2E">
      <w:pPr>
        <w:tabs>
          <w:tab w:val="left" w:pos="450"/>
          <w:tab w:val="left" w:pos="720"/>
        </w:tabs>
        <w:spacing w:line="260" w:lineRule="auto"/>
        <w:jc w:val="both"/>
        <w:rPr>
          <w:lang w:val="en-US" w:eastAsia="zh-CN"/>
        </w:rPr>
      </w:pPr>
      <w:r>
        <w:rPr>
          <w:rFonts w:hint="eastAsia"/>
          <w:lang w:val="en-US" w:eastAsia="zh-CN"/>
        </w:rPr>
        <w:t xml:space="preserve">For example, high interference detected on the omni-directional beam range could block the transmission on narrow directional beam range even if the transmission does not interfere with the transmission of the other nodes in the other beam directions. </w:t>
      </w:r>
    </w:p>
    <w:p w:rsidR="00FC1DD4" w:rsidRDefault="00734F2E">
      <w:pPr>
        <w:tabs>
          <w:tab w:val="left" w:pos="450"/>
          <w:tab w:val="left" w:pos="720"/>
        </w:tabs>
        <w:spacing w:line="260" w:lineRule="auto"/>
        <w:jc w:val="both"/>
        <w:rPr>
          <w:lang w:val="en-US" w:eastAsia="zh-CN"/>
        </w:rPr>
      </w:pPr>
      <w:r>
        <w:rPr>
          <w:rFonts w:hint="eastAsia"/>
          <w:lang w:val="en-US" w:eastAsia="zh-CN"/>
        </w:rPr>
        <w:t xml:space="preserve">Based on the above analysis, it is necessary to study directional LBT mechanism for directional transmission and reception mode in order to improve the probability of channel access and spatial reuse </w:t>
      </w:r>
    </w:p>
    <w:p w:rsidR="00FC1DD4" w:rsidRDefault="00734F2E">
      <w:pPr>
        <w:pStyle w:val="Heading3"/>
        <w:rPr>
          <w:rFonts w:ascii="Times New Roman" w:hAnsi="Times New Roman" w:cs="Times New Roman"/>
          <w:b/>
          <w:bCs w:val="0"/>
          <w:lang w:val="en-US" w:eastAsia="zh-CN"/>
        </w:rPr>
      </w:pPr>
      <w:r>
        <w:rPr>
          <w:rFonts w:ascii="Times New Roman" w:hAnsi="Times New Roman" w:cs="Times New Roman" w:hint="eastAsia"/>
          <w:b/>
          <w:bCs w:val="0"/>
          <w:lang w:val="en-US" w:eastAsia="zh-CN"/>
        </w:rPr>
        <w:t xml:space="preserve"> </w:t>
      </w:r>
      <w:r>
        <w:rPr>
          <w:rFonts w:ascii="Times New Roman" w:hAnsi="Times New Roman" w:cs="Times New Roman"/>
          <w:b/>
          <w:bCs w:val="0"/>
          <w:lang w:val="en-US" w:eastAsia="zh-CN"/>
        </w:rPr>
        <w:t>Directional LBT</w:t>
      </w:r>
    </w:p>
    <w:p w:rsidR="00FC1DD4" w:rsidRDefault="00734F2E">
      <w:pPr>
        <w:tabs>
          <w:tab w:val="left" w:pos="450"/>
          <w:tab w:val="left" w:pos="720"/>
        </w:tabs>
        <w:jc w:val="both"/>
        <w:rPr>
          <w:lang w:val="en-US" w:eastAsia="zh-CN"/>
        </w:rPr>
      </w:pPr>
      <w:r>
        <w:rPr>
          <w:rFonts w:hint="eastAsia"/>
          <w:lang w:val="en-US" w:eastAsia="zh-CN"/>
        </w:rPr>
        <w:t xml:space="preserve">Based on the analysis of Section 2.2.1, we can know that directional LBT may be a good choice to increase the opportunities of channel access and achieve better spatial reuse compared to omni-directional LBT, wherein, for directional LBT, the transmitting node performs energy detection with directional beam instead of omni beam. Furthermore, directional LBT may accentuate the hidden/exposed node problem compared to onmi-directional LBT and the reason is that it can make the difference between the observed interference at transmitter side and actual interference at the receiver side much larger compared to onmi-directional LBT. In order to alleviate the impact of </w:t>
      </w:r>
      <w:r>
        <w:rPr>
          <w:lang w:val="en-US" w:eastAsia="zh-CN"/>
        </w:rPr>
        <w:t>the hidden</w:t>
      </w:r>
      <w:r>
        <w:rPr>
          <w:rFonts w:hint="eastAsia"/>
          <w:lang w:val="en-US" w:eastAsia="zh-CN"/>
        </w:rPr>
        <w:t>/exposed</w:t>
      </w:r>
      <w:r>
        <w:rPr>
          <w:lang w:val="en-US" w:eastAsia="zh-CN"/>
        </w:rPr>
        <w:t xml:space="preserve"> nodes</w:t>
      </w:r>
      <w:r>
        <w:rPr>
          <w:rFonts w:hint="eastAsia"/>
          <w:lang w:val="en-US" w:eastAsia="zh-CN"/>
        </w:rPr>
        <w:t xml:space="preserve"> problem, some methods may </w:t>
      </w:r>
      <w:r>
        <w:rPr>
          <w:lang w:val="en-US" w:eastAsia="zh-CN"/>
        </w:rPr>
        <w:t xml:space="preserve">be </w:t>
      </w:r>
      <w:r>
        <w:rPr>
          <w:rFonts w:hint="eastAsia"/>
          <w:lang w:val="en-US" w:eastAsia="zh-CN"/>
        </w:rPr>
        <w:t xml:space="preserve">considered and studied, e.g., </w:t>
      </w:r>
      <w:r>
        <w:rPr>
          <w:lang w:eastAsia="zh-CN"/>
        </w:rPr>
        <w:t xml:space="preserve">the receiving </w:t>
      </w:r>
      <w:r>
        <w:rPr>
          <w:rFonts w:hint="eastAsia"/>
          <w:lang w:val="en-US" w:eastAsia="zh-CN"/>
        </w:rPr>
        <w:t>node</w:t>
      </w:r>
      <w:r>
        <w:rPr>
          <w:lang w:eastAsia="zh-CN"/>
        </w:rPr>
        <w:t xml:space="preserve"> performs a LBT</w:t>
      </w:r>
      <w:r>
        <w:rPr>
          <w:rFonts w:hint="eastAsia"/>
          <w:lang w:val="en-US" w:eastAsia="zh-CN"/>
        </w:rPr>
        <w:t xml:space="preserve"> mechanism and</w:t>
      </w:r>
      <w:r>
        <w:rPr>
          <w:rFonts w:hint="eastAsia"/>
          <w:lang w:eastAsia="zh-CN"/>
        </w:rPr>
        <w:t xml:space="preserve"> send</w:t>
      </w:r>
      <w:r>
        <w:rPr>
          <w:rFonts w:eastAsia="宋体" w:hint="eastAsia"/>
          <w:lang w:eastAsia="zh-CN"/>
        </w:rPr>
        <w:t>s</w:t>
      </w:r>
      <w:r>
        <w:rPr>
          <w:rFonts w:hint="eastAsia"/>
          <w:lang w:eastAsia="zh-CN"/>
        </w:rPr>
        <w:t xml:space="preserve"> </w:t>
      </w:r>
      <w:r>
        <w:rPr>
          <w:rFonts w:hint="eastAsia"/>
          <w:lang w:val="en-US" w:eastAsia="zh-CN"/>
        </w:rPr>
        <w:t>an</w:t>
      </w:r>
      <w:r>
        <w:rPr>
          <w:rFonts w:hint="eastAsia"/>
          <w:lang w:eastAsia="zh-CN"/>
        </w:rPr>
        <w:t xml:space="preserve"> indication signal</w:t>
      </w:r>
      <w:r>
        <w:rPr>
          <w:rFonts w:hint="eastAsia"/>
          <w:lang w:val="en-US" w:eastAsia="zh-CN"/>
        </w:rPr>
        <w:t xml:space="preserve"> to alleviate hidden node problem</w:t>
      </w:r>
      <w:r>
        <w:rPr>
          <w:rFonts w:hint="eastAsia"/>
          <w:lang w:eastAsia="zh-CN"/>
        </w:rPr>
        <w:t xml:space="preserve">. </w:t>
      </w:r>
      <w:r>
        <w:rPr>
          <w:rFonts w:hint="eastAsia"/>
          <w:lang w:val="en-US" w:eastAsia="zh-CN"/>
        </w:rPr>
        <w:t>Beside</w:t>
      </w:r>
      <w:r w:rsidR="00E75E07">
        <w:rPr>
          <w:lang w:val="en-US" w:eastAsia="zh-CN"/>
        </w:rPr>
        <w:t>s</w:t>
      </w:r>
      <w:r w:rsidR="00E75E07">
        <w:rPr>
          <w:rFonts w:hint="eastAsia"/>
          <w:lang w:val="en-US" w:eastAsia="zh-CN"/>
        </w:rPr>
        <w:t>, t</w:t>
      </w:r>
      <w:r>
        <w:rPr>
          <w:rFonts w:hint="eastAsia"/>
          <w:lang w:val="en-US" w:eastAsia="zh-CN"/>
        </w:rPr>
        <w:t>he transmitter performs sensing operation on the transmission beam range to reduce exposed node problem or mismatch sensing beam and transmission beam.</w:t>
      </w:r>
    </w:p>
    <w:p w:rsidR="00FC1DD4" w:rsidRDefault="00734F2E">
      <w:pPr>
        <w:tabs>
          <w:tab w:val="left" w:pos="450"/>
          <w:tab w:val="left" w:pos="720"/>
        </w:tabs>
        <w:jc w:val="both"/>
        <w:rPr>
          <w:lang w:val="en-US" w:eastAsia="zh-CN"/>
        </w:rPr>
      </w:pPr>
      <w:r>
        <w:rPr>
          <w:rFonts w:hint="eastAsia"/>
          <w:lang w:val="en-US" w:eastAsia="zh-CN"/>
        </w:rPr>
        <w:t>We can see from the analysis of section 2.2.1 and 2.2.2 that channel access scheme should be studied taking into account the characteristic of beam-based transmission and reception mode for above 52.6 GHz, especially for directional LBT to improve the probability of channel access and spatial reuse.</w:t>
      </w:r>
    </w:p>
    <w:p w:rsidR="00FC1DD4" w:rsidRDefault="00734F2E">
      <w:pPr>
        <w:tabs>
          <w:tab w:val="left" w:pos="450"/>
          <w:tab w:val="left" w:pos="720"/>
        </w:tabs>
        <w:jc w:val="both"/>
        <w:rPr>
          <w:lang w:val="en-US" w:eastAsia="zh-CN"/>
        </w:rPr>
      </w:pPr>
      <w:r>
        <w:rPr>
          <w:rFonts w:hint="eastAsia"/>
          <w:lang w:val="en-US" w:eastAsia="zh-CN"/>
        </w:rPr>
        <w:t>In this part, we provide system-level simulation</w:t>
      </w:r>
      <w:r w:rsidR="002C29DD">
        <w:rPr>
          <w:lang w:val="en-US" w:eastAsia="zh-CN"/>
        </w:rPr>
        <w:t>s</w:t>
      </w:r>
      <w:r>
        <w:rPr>
          <w:rFonts w:hint="eastAsia"/>
          <w:lang w:val="en-US" w:eastAsia="zh-CN"/>
        </w:rPr>
        <w:t xml:space="preserve"> </w:t>
      </w:r>
      <w:r w:rsidR="002C29DD">
        <w:rPr>
          <w:lang w:val="en-US" w:eastAsia="zh-CN"/>
        </w:rPr>
        <w:t>to evaluate the impact of LBT schemes on the coexistence between</w:t>
      </w:r>
      <w:r>
        <w:rPr>
          <w:rFonts w:hint="eastAsia"/>
          <w:lang w:val="en-US" w:eastAsia="zh-CN"/>
        </w:rPr>
        <w:t xml:space="preserve"> NR-U and Wi-Fi </w:t>
      </w:r>
      <w:r w:rsidR="002C29DD">
        <w:rPr>
          <w:lang w:val="en-US" w:eastAsia="zh-CN"/>
        </w:rPr>
        <w:t>systems, where one operator using</w:t>
      </w:r>
      <w:r>
        <w:rPr>
          <w:rFonts w:hint="eastAsia"/>
          <w:lang w:val="en-US" w:eastAsia="zh-CN"/>
        </w:rPr>
        <w:t xml:space="preserve"> </w:t>
      </w:r>
      <w:r w:rsidR="002C29DD">
        <w:rPr>
          <w:lang w:val="en-US" w:eastAsia="zh-CN"/>
        </w:rPr>
        <w:t>omni-directional LBT mimics the behavior of</w:t>
      </w:r>
      <w:r>
        <w:rPr>
          <w:rFonts w:hint="eastAsia"/>
          <w:lang w:val="en-US" w:eastAsia="zh-CN"/>
        </w:rPr>
        <w:t xml:space="preserve"> Wi-Fi system </w:t>
      </w:r>
      <w:r w:rsidR="002C29DD">
        <w:rPr>
          <w:lang w:val="en-US" w:eastAsia="zh-CN"/>
        </w:rPr>
        <w:t>and the other operator is assumed as NR-U can choose between</w:t>
      </w:r>
      <w:r>
        <w:rPr>
          <w:rFonts w:hint="eastAsia"/>
          <w:lang w:val="en-US" w:eastAsia="zh-CN"/>
        </w:rPr>
        <w:t xml:space="preserve"> omni-directional LBT </w:t>
      </w:r>
      <w:r w:rsidR="002C29DD">
        <w:rPr>
          <w:lang w:val="en-US" w:eastAsia="zh-CN"/>
        </w:rPr>
        <w:t>and</w:t>
      </w:r>
      <w:r>
        <w:rPr>
          <w:rFonts w:hint="eastAsia"/>
          <w:lang w:val="en-US" w:eastAsia="zh-CN"/>
        </w:rPr>
        <w:t xml:space="preserve"> directional LBT. </w:t>
      </w:r>
      <w:r w:rsidR="00781C30">
        <w:rPr>
          <w:lang w:val="en-US" w:eastAsia="zh-CN"/>
        </w:rPr>
        <w:t>The</w:t>
      </w:r>
      <w:r>
        <w:rPr>
          <w:rFonts w:hint="eastAsia"/>
          <w:lang w:val="en-US" w:eastAsia="zh-CN"/>
        </w:rPr>
        <w:t xml:space="preserve"> detailed simulation assumptions are listed in Appendix. Besides, more SLS results for above 52.6 GHz NR-U can be found in our companion contribution [4].</w:t>
      </w:r>
    </w:p>
    <w:p w:rsidR="005F6C82" w:rsidRDefault="00734F2E">
      <w:pPr>
        <w:tabs>
          <w:tab w:val="left" w:pos="450"/>
          <w:tab w:val="left" w:pos="720"/>
        </w:tabs>
        <w:jc w:val="both"/>
        <w:rPr>
          <w:lang w:val="en-US" w:eastAsia="zh-CN"/>
        </w:rPr>
      </w:pPr>
      <w:r>
        <w:rPr>
          <w:rFonts w:hint="eastAsia"/>
          <w:lang w:val="en-US" w:eastAsia="zh-CN"/>
        </w:rPr>
        <w:t xml:space="preserve">Figure 1 plots mean, 5%, 50% and 95% user-perceived throughput performance for Case 1 and Case 2, herein, </w:t>
      </w:r>
    </w:p>
    <w:p w:rsidR="005F6C82" w:rsidRPr="005F6C82" w:rsidRDefault="00734F2E" w:rsidP="005F6C82">
      <w:pPr>
        <w:pStyle w:val="ListParagraph"/>
        <w:numPr>
          <w:ilvl w:val="0"/>
          <w:numId w:val="14"/>
        </w:numPr>
        <w:tabs>
          <w:tab w:val="left" w:pos="450"/>
          <w:tab w:val="left" w:pos="720"/>
        </w:tabs>
        <w:jc w:val="both"/>
        <w:rPr>
          <w:lang w:val="en-US" w:eastAsia="zh-CN"/>
        </w:rPr>
      </w:pPr>
      <w:r w:rsidRPr="005F6C82">
        <w:rPr>
          <w:rFonts w:hint="eastAsia"/>
          <w:lang w:val="en-US" w:eastAsia="zh-CN"/>
        </w:rPr>
        <w:t>Case 1 corresponds to omni-directional LBT for Operator 1</w:t>
      </w:r>
      <w:r w:rsidR="00B75354">
        <w:rPr>
          <w:lang w:val="en-US" w:eastAsia="zh-CN"/>
        </w:rPr>
        <w:t xml:space="preserve"> (mimic an existed Wi-Fi operator</w:t>
      </w:r>
      <w:r w:rsidRPr="005F6C82">
        <w:rPr>
          <w:rFonts w:hint="eastAsia"/>
          <w:lang w:val="en-US" w:eastAsia="zh-CN"/>
        </w:rPr>
        <w:t>) vs omni-directional LBT for Operator 2</w:t>
      </w:r>
      <w:r w:rsidR="00B75354">
        <w:rPr>
          <w:lang w:val="en-US" w:eastAsia="zh-CN"/>
        </w:rPr>
        <w:t xml:space="preserve"> (mimic a new NR-U operator</w:t>
      </w:r>
      <w:r w:rsidRPr="005F6C82">
        <w:rPr>
          <w:rFonts w:hint="eastAsia"/>
          <w:lang w:val="en-US" w:eastAsia="zh-CN"/>
        </w:rPr>
        <w:t xml:space="preserve">) </w:t>
      </w:r>
      <w:r w:rsidR="005F6C82" w:rsidRPr="005F6C82">
        <w:rPr>
          <w:lang w:val="en-US" w:eastAsia="zh-CN"/>
        </w:rPr>
        <w:t>;</w:t>
      </w:r>
    </w:p>
    <w:p w:rsidR="005F6C82" w:rsidRDefault="00734F2E" w:rsidP="005F6C82">
      <w:pPr>
        <w:pStyle w:val="ListParagraph"/>
        <w:numPr>
          <w:ilvl w:val="0"/>
          <w:numId w:val="14"/>
        </w:numPr>
        <w:tabs>
          <w:tab w:val="left" w:pos="450"/>
          <w:tab w:val="left" w:pos="720"/>
        </w:tabs>
        <w:jc w:val="both"/>
        <w:rPr>
          <w:lang w:val="en-US" w:eastAsia="zh-CN"/>
        </w:rPr>
      </w:pPr>
      <w:r w:rsidRPr="005F6C82">
        <w:rPr>
          <w:rFonts w:hint="eastAsia"/>
          <w:lang w:val="en-US" w:eastAsia="zh-CN"/>
        </w:rPr>
        <w:t>Case 2 corresponds to omni-directional LBT for Operator 1</w:t>
      </w:r>
      <w:r w:rsidR="00B75354">
        <w:rPr>
          <w:lang w:val="en-US" w:eastAsia="zh-CN"/>
        </w:rPr>
        <w:t>(mimic an existed Wi-Fi operator</w:t>
      </w:r>
      <w:r w:rsidRPr="005F6C82">
        <w:rPr>
          <w:rFonts w:hint="eastAsia"/>
          <w:lang w:val="en-US" w:eastAsia="zh-CN"/>
        </w:rPr>
        <w:t>) vs directional LBT for Operator 2</w:t>
      </w:r>
      <w:r w:rsidR="00B75354">
        <w:rPr>
          <w:lang w:val="en-US" w:eastAsia="zh-CN"/>
        </w:rPr>
        <w:t xml:space="preserve"> (mimic a new NR-U operator</w:t>
      </w:r>
      <w:r w:rsidRPr="005F6C82">
        <w:rPr>
          <w:rFonts w:hint="eastAsia"/>
          <w:lang w:val="en-US" w:eastAsia="zh-CN"/>
        </w:rPr>
        <w:t xml:space="preserve">). </w:t>
      </w:r>
    </w:p>
    <w:p w:rsidR="00FC1DD4" w:rsidRPr="005F6C82" w:rsidRDefault="00734F2E" w:rsidP="005F6C82">
      <w:pPr>
        <w:tabs>
          <w:tab w:val="left" w:pos="450"/>
          <w:tab w:val="left" w:pos="720"/>
        </w:tabs>
        <w:jc w:val="both"/>
        <w:rPr>
          <w:lang w:val="en-US" w:eastAsia="zh-CN"/>
        </w:rPr>
      </w:pPr>
      <w:r w:rsidRPr="005F6C82">
        <w:rPr>
          <w:rFonts w:hint="eastAsia"/>
          <w:lang w:val="en-US" w:eastAsia="zh-CN"/>
        </w:rPr>
        <w:lastRenderedPageBreak/>
        <w:t>We can observe the following phenomenon from Figure 1:</w:t>
      </w:r>
    </w:p>
    <w:p w:rsidR="00FC1DD4" w:rsidRDefault="00734F2E">
      <w:pPr>
        <w:numPr>
          <w:ilvl w:val="0"/>
          <w:numId w:val="12"/>
        </w:numPr>
        <w:tabs>
          <w:tab w:val="left" w:pos="450"/>
          <w:tab w:val="left" w:pos="720"/>
        </w:tabs>
        <w:jc w:val="both"/>
        <w:rPr>
          <w:lang w:val="en-US" w:eastAsia="zh-CN"/>
        </w:rPr>
      </w:pPr>
      <w:r>
        <w:rPr>
          <w:rFonts w:hint="eastAsia"/>
          <w:lang w:val="en-US" w:eastAsia="zh-CN"/>
        </w:rPr>
        <w:t xml:space="preserve">In mean and 5% and 95% UPT, it is shown from Case1 that </w:t>
      </w:r>
      <w:r w:rsidR="009F2764" w:rsidRPr="005F6C82">
        <w:rPr>
          <w:rFonts w:hint="eastAsia"/>
          <w:lang w:val="en-US" w:eastAsia="zh-CN"/>
        </w:rPr>
        <w:t>Operator 1</w:t>
      </w:r>
      <w:r>
        <w:rPr>
          <w:rFonts w:hint="eastAsia"/>
          <w:lang w:val="en-US" w:eastAsia="zh-CN"/>
        </w:rPr>
        <w:t xml:space="preserve"> has a relatively high throughput with omni-directional LBT compared to the same LBT mechanism used for </w:t>
      </w:r>
      <w:r w:rsidR="00B348B9">
        <w:rPr>
          <w:lang w:val="en-US" w:eastAsia="zh-CN"/>
        </w:rPr>
        <w:t>Operator 2</w:t>
      </w:r>
      <w:r w:rsidR="00A45E42">
        <w:rPr>
          <w:lang w:val="en-US" w:eastAsia="zh-CN"/>
        </w:rPr>
        <w:t>.</w:t>
      </w:r>
      <w:r>
        <w:rPr>
          <w:rFonts w:hint="eastAsia"/>
          <w:lang w:val="en-US" w:eastAsia="zh-CN"/>
        </w:rPr>
        <w:t xml:space="preserve"> </w:t>
      </w:r>
      <w:r w:rsidR="00A45E42">
        <w:rPr>
          <w:lang w:val="en-US" w:eastAsia="zh-CN"/>
        </w:rPr>
        <w:t>T</w:t>
      </w:r>
      <w:r>
        <w:rPr>
          <w:rFonts w:hint="eastAsia"/>
          <w:lang w:val="en-US" w:eastAsia="zh-CN"/>
        </w:rPr>
        <w:t xml:space="preserve">he performance difference between </w:t>
      </w:r>
      <w:r w:rsidR="009F2764">
        <w:rPr>
          <w:lang w:val="en-US" w:eastAsia="zh-CN"/>
        </w:rPr>
        <w:t>the two operators</w:t>
      </w:r>
      <w:r>
        <w:rPr>
          <w:rFonts w:hint="eastAsia"/>
          <w:lang w:val="en-US" w:eastAsia="zh-CN"/>
        </w:rPr>
        <w:t xml:space="preserve"> is </w:t>
      </w:r>
      <w:r w:rsidR="00A45E42">
        <w:rPr>
          <w:lang w:val="en-US" w:eastAsia="zh-CN"/>
        </w:rPr>
        <w:t xml:space="preserve">mainly </w:t>
      </w:r>
      <w:r w:rsidR="009F2764">
        <w:rPr>
          <w:lang w:val="en-US" w:eastAsia="zh-CN"/>
        </w:rPr>
        <w:t xml:space="preserve">due to the random distribution of the </w:t>
      </w:r>
      <w:r w:rsidR="00AA50CE">
        <w:rPr>
          <w:lang w:val="en-US" w:eastAsia="zh-CN"/>
        </w:rPr>
        <w:t>nodes in this</w:t>
      </w:r>
      <w:r w:rsidR="009F2764">
        <w:rPr>
          <w:lang w:val="en-US" w:eastAsia="zh-CN"/>
        </w:rPr>
        <w:t xml:space="preserve"> simulation</w:t>
      </w:r>
      <w:r w:rsidR="00AA50CE">
        <w:rPr>
          <w:lang w:val="en-US" w:eastAsia="zh-CN"/>
        </w:rPr>
        <w:t xml:space="preserve"> drop</w:t>
      </w:r>
      <w:r w:rsidR="009F2764">
        <w:rPr>
          <w:lang w:val="en-US" w:eastAsia="zh-CN"/>
        </w:rPr>
        <w:t xml:space="preserve"> which is not friendly to operator 2</w:t>
      </w:r>
      <w:r>
        <w:rPr>
          <w:rFonts w:hint="eastAsia"/>
          <w:lang w:val="en-US" w:eastAsia="zh-CN"/>
        </w:rPr>
        <w:t>. However, we can see from Case 2 that such phenomenon is mitigated when directional LBT is used for NR-U instead of omni-directional LBT.</w:t>
      </w:r>
    </w:p>
    <w:p w:rsidR="00FC1DD4" w:rsidRDefault="00734F2E">
      <w:pPr>
        <w:numPr>
          <w:ilvl w:val="0"/>
          <w:numId w:val="12"/>
        </w:numPr>
        <w:tabs>
          <w:tab w:val="left" w:pos="450"/>
          <w:tab w:val="left" w:pos="720"/>
        </w:tabs>
        <w:jc w:val="both"/>
        <w:rPr>
          <w:lang w:val="en-US" w:eastAsia="zh-CN"/>
        </w:rPr>
      </w:pPr>
      <w:r>
        <w:rPr>
          <w:rFonts w:hint="eastAsia"/>
          <w:lang w:val="en-US" w:eastAsia="zh-CN"/>
        </w:rPr>
        <w:t xml:space="preserve">In 50% UPT, it can be observed that </w:t>
      </w:r>
      <w:r w:rsidR="00DE752C">
        <w:rPr>
          <w:lang w:val="en-US" w:eastAsia="zh-CN"/>
        </w:rPr>
        <w:t>Operaptr 1</w:t>
      </w:r>
      <w:r>
        <w:rPr>
          <w:rFonts w:hint="eastAsia"/>
          <w:lang w:val="en-US" w:eastAsia="zh-CN"/>
        </w:rPr>
        <w:t xml:space="preserve"> and </w:t>
      </w:r>
      <w:r w:rsidR="00DE752C">
        <w:rPr>
          <w:lang w:val="en-US" w:eastAsia="zh-CN"/>
        </w:rPr>
        <w:t>Operaptr 1</w:t>
      </w:r>
      <w:r>
        <w:rPr>
          <w:rFonts w:hint="eastAsia"/>
          <w:lang w:val="en-US" w:eastAsia="zh-CN"/>
        </w:rPr>
        <w:t xml:space="preserve"> show very similar performance and means that </w:t>
      </w:r>
      <w:r w:rsidR="007A0FB7">
        <w:rPr>
          <w:lang w:val="en-US" w:eastAsia="zh-CN"/>
        </w:rPr>
        <w:t xml:space="preserve">the </w:t>
      </w:r>
      <w:r>
        <w:rPr>
          <w:rFonts w:hint="eastAsia"/>
          <w:lang w:val="en-US" w:eastAsia="zh-CN"/>
        </w:rPr>
        <w:t>performance</w:t>
      </w:r>
      <w:r w:rsidR="00497E1C">
        <w:rPr>
          <w:lang w:val="en-US" w:eastAsia="zh-CN"/>
        </w:rPr>
        <w:t xml:space="preserve"> of </w:t>
      </w:r>
      <w:r w:rsidR="00497E1C">
        <w:rPr>
          <w:rFonts w:eastAsia="宋体" w:hint="eastAsia"/>
          <w:lang w:val="en-US" w:eastAsia="zh-CN"/>
        </w:rPr>
        <w:t>O</w:t>
      </w:r>
      <w:r w:rsidR="007A0FB7">
        <w:rPr>
          <w:lang w:val="en-US" w:eastAsia="zh-CN"/>
        </w:rPr>
        <w:t>perator 1</w:t>
      </w:r>
      <w:r w:rsidR="00497E1C">
        <w:rPr>
          <w:lang w:val="en-US" w:eastAsia="zh-CN"/>
        </w:rPr>
        <w:t xml:space="preserve"> assuming omni-directional LBT</w:t>
      </w:r>
      <w:r>
        <w:rPr>
          <w:rFonts w:hint="eastAsia"/>
          <w:lang w:val="en-US" w:eastAsia="zh-CN"/>
        </w:rPr>
        <w:t xml:space="preserve"> will not be significantly affected even if directional LBT is used for </w:t>
      </w:r>
      <w:r w:rsidR="00497E1C">
        <w:rPr>
          <w:lang w:val="en-US" w:eastAsia="zh-CN"/>
        </w:rPr>
        <w:t>O</w:t>
      </w:r>
      <w:r w:rsidR="00DE752C">
        <w:rPr>
          <w:lang w:val="en-US" w:eastAsia="zh-CN"/>
        </w:rPr>
        <w:t>perator 2</w:t>
      </w:r>
      <w:r>
        <w:rPr>
          <w:rFonts w:hint="eastAsia"/>
          <w:lang w:val="en-US" w:eastAsia="zh-CN"/>
        </w:rPr>
        <w:t>.</w:t>
      </w:r>
    </w:p>
    <w:p w:rsidR="00FC1DD4" w:rsidRDefault="00734F2E">
      <w:pPr>
        <w:numPr>
          <w:ilvl w:val="255"/>
          <w:numId w:val="0"/>
        </w:numPr>
        <w:tabs>
          <w:tab w:val="left" w:pos="450"/>
          <w:tab w:val="left" w:pos="720"/>
        </w:tabs>
        <w:jc w:val="both"/>
        <w:rPr>
          <w:lang w:val="en-US" w:eastAsia="zh-CN"/>
        </w:rPr>
      </w:pPr>
      <w:r>
        <w:rPr>
          <w:rFonts w:hint="eastAsia"/>
          <w:lang w:val="en-US" w:eastAsia="zh-CN"/>
        </w:rPr>
        <w:t xml:space="preserve">Therefore, we note based on the following simulation result and the above analysis that these results are consistent with our analysis mentioned in Section 2.2.1 and 2.2.2 and the principle of friendly and fair coexistence, that is, directional LBT is benefit for directional beam transmission mode and </w:t>
      </w:r>
      <w:r w:rsidR="000A34C3">
        <w:rPr>
          <w:lang w:val="en-US" w:eastAsia="zh-CN"/>
        </w:rPr>
        <w:t>the</w:t>
      </w:r>
      <w:r>
        <w:rPr>
          <w:rFonts w:hint="eastAsia"/>
          <w:lang w:val="en-US" w:eastAsia="zh-CN"/>
        </w:rPr>
        <w:t xml:space="preserve"> impact on the performance of </w:t>
      </w:r>
      <w:r w:rsidR="000A34C3">
        <w:rPr>
          <w:lang w:val="en-US" w:eastAsia="zh-CN"/>
        </w:rPr>
        <w:t xml:space="preserve">existing </w:t>
      </w:r>
      <w:r>
        <w:rPr>
          <w:rFonts w:hint="eastAsia"/>
          <w:lang w:val="en-US" w:eastAsia="zh-CN"/>
        </w:rPr>
        <w:t>Wi-Fi system</w:t>
      </w:r>
      <w:r w:rsidR="000A34C3">
        <w:rPr>
          <w:lang w:val="en-US" w:eastAsia="zh-CN"/>
        </w:rPr>
        <w:t xml:space="preserve"> is </w:t>
      </w:r>
      <w:r w:rsidR="00DE752C">
        <w:rPr>
          <w:lang w:val="en-US" w:eastAsia="zh-CN"/>
        </w:rPr>
        <w:t>negligible</w:t>
      </w:r>
      <w:r>
        <w:rPr>
          <w:rFonts w:hint="eastAsia"/>
          <w:lang w:val="en-US" w:eastAsia="zh-CN"/>
        </w:rPr>
        <w:t>.</w:t>
      </w:r>
    </w:p>
    <w:p w:rsidR="00FC1DD4" w:rsidRDefault="00734F2E">
      <w:pPr>
        <w:numPr>
          <w:ilvl w:val="255"/>
          <w:numId w:val="0"/>
        </w:numPr>
        <w:tabs>
          <w:tab w:val="left" w:pos="450"/>
          <w:tab w:val="left" w:pos="720"/>
        </w:tabs>
        <w:jc w:val="center"/>
      </w:pPr>
      <w:r>
        <w:rPr>
          <w:noProof/>
          <w:lang w:val="en-US" w:eastAsia="zh-CN"/>
        </w:rPr>
        <w:drawing>
          <wp:inline distT="0" distB="0" distL="114300" distR="114300">
            <wp:extent cx="2339975" cy="1833245"/>
            <wp:effectExtent l="4445" t="4445" r="5080" b="16510"/>
            <wp:docPr id="1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eastAsia="宋体" w:hint="eastAsia"/>
          <w:lang w:val="en-US" w:eastAsia="zh-CN"/>
        </w:rPr>
        <w:tab/>
      </w:r>
      <w:r>
        <w:rPr>
          <w:noProof/>
          <w:lang w:val="en-US" w:eastAsia="zh-CN"/>
        </w:rPr>
        <w:drawing>
          <wp:inline distT="0" distB="0" distL="114300" distR="114300">
            <wp:extent cx="2482850" cy="1807845"/>
            <wp:effectExtent l="4445" t="4445" r="14605" b="1651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C1DD4" w:rsidRDefault="00734F2E">
      <w:pPr>
        <w:jc w:val="center"/>
      </w:pPr>
      <w:r>
        <w:rPr>
          <w:noProof/>
          <w:lang w:val="en-US" w:eastAsia="zh-CN"/>
        </w:rPr>
        <w:drawing>
          <wp:inline distT="0" distB="0" distL="114300" distR="114300">
            <wp:extent cx="2372995" cy="1763395"/>
            <wp:effectExtent l="4445" t="4445" r="10160" b="1016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eastAsia="宋体" w:hint="eastAsia"/>
          <w:lang w:val="en-US" w:eastAsia="zh-CN"/>
        </w:rPr>
        <w:tab/>
      </w:r>
      <w:r>
        <w:rPr>
          <w:noProof/>
          <w:lang w:val="en-US" w:eastAsia="zh-CN"/>
        </w:rPr>
        <w:drawing>
          <wp:inline distT="0" distB="0" distL="114300" distR="114300">
            <wp:extent cx="2530475" cy="1778635"/>
            <wp:effectExtent l="4445" t="4445" r="5080" b="762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C1DD4" w:rsidRDefault="00734F2E">
      <w:pPr>
        <w:tabs>
          <w:tab w:val="left" w:pos="450"/>
          <w:tab w:val="left" w:pos="720"/>
        </w:tabs>
        <w:jc w:val="center"/>
        <w:rPr>
          <w:rFonts w:eastAsia="宋体"/>
          <w:b/>
          <w:bCs/>
          <w:lang w:val="en-US" w:eastAsia="zh-CN"/>
        </w:rPr>
      </w:pPr>
      <w:r>
        <w:rPr>
          <w:rFonts w:eastAsia="宋体" w:hint="eastAsia"/>
          <w:b/>
          <w:bCs/>
          <w:lang w:val="en-US" w:eastAsia="zh-CN"/>
        </w:rPr>
        <w:t xml:space="preserve">Figure 1 Mean, 5%, 50% and 95% </w:t>
      </w:r>
      <w:r>
        <w:rPr>
          <w:b/>
          <w:bCs/>
          <w:lang w:eastAsia="ko-KR"/>
        </w:rPr>
        <w:t xml:space="preserve">user-perceived throughput for </w:t>
      </w:r>
      <w:r>
        <w:rPr>
          <w:rFonts w:eastAsia="宋体" w:hint="eastAsia"/>
          <w:b/>
          <w:bCs/>
          <w:lang w:val="en-US" w:eastAsia="zh-CN"/>
        </w:rPr>
        <w:t>Case1 and Case 2</w:t>
      </w:r>
    </w:p>
    <w:p w:rsidR="00FC1DD4" w:rsidRDefault="00734F2E">
      <w:pPr>
        <w:tabs>
          <w:tab w:val="left" w:pos="450"/>
          <w:tab w:val="left" w:pos="720"/>
        </w:tabs>
        <w:jc w:val="both"/>
        <w:rPr>
          <w:b/>
          <w:bCs/>
          <w:lang w:val="en-US" w:eastAsia="zh-CN"/>
        </w:rPr>
      </w:pPr>
      <w:r>
        <w:rPr>
          <w:rFonts w:hint="eastAsia"/>
          <w:b/>
          <w:bCs/>
          <w:lang w:val="en-US" w:eastAsia="zh-CN"/>
        </w:rPr>
        <w:t>Observation 1: According to regulation of ETSI EN 302 567, at least LBT operation should be supported in Europe area for above 52.6 GHz.</w:t>
      </w:r>
    </w:p>
    <w:p w:rsidR="00FC1DD4" w:rsidRDefault="00734F2E">
      <w:pPr>
        <w:tabs>
          <w:tab w:val="left" w:pos="450"/>
          <w:tab w:val="left" w:pos="720"/>
        </w:tabs>
        <w:jc w:val="both"/>
        <w:rPr>
          <w:lang w:val="en-US" w:eastAsia="zh-CN"/>
        </w:rPr>
      </w:pPr>
      <w:r>
        <w:rPr>
          <w:rFonts w:hint="eastAsia"/>
          <w:b/>
          <w:bCs/>
          <w:lang w:val="en-US" w:eastAsia="zh-CN"/>
        </w:rPr>
        <w:t>Observation 2: Compared to omni-directional LBT, directional LBT is benefi</w:t>
      </w:r>
      <w:r w:rsidR="00053BEE">
        <w:rPr>
          <w:b/>
          <w:bCs/>
          <w:lang w:val="en-US" w:eastAsia="zh-CN"/>
        </w:rPr>
        <w:t>cial</w:t>
      </w:r>
      <w:r>
        <w:rPr>
          <w:rFonts w:hint="eastAsia"/>
          <w:b/>
          <w:bCs/>
          <w:lang w:val="en-US" w:eastAsia="zh-CN"/>
        </w:rPr>
        <w:t xml:space="preserve"> to increase the probability of channel access and the spatial reuse efficiency for NR-U</w:t>
      </w:r>
      <w:r w:rsidR="00916236">
        <w:rPr>
          <w:b/>
          <w:bCs/>
          <w:lang w:val="en-US" w:eastAsia="zh-CN"/>
        </w:rPr>
        <w:t>,</w:t>
      </w:r>
      <w:r>
        <w:rPr>
          <w:rFonts w:hint="eastAsia"/>
          <w:b/>
          <w:bCs/>
          <w:lang w:val="en-US" w:eastAsia="zh-CN"/>
        </w:rPr>
        <w:t xml:space="preserve"> and </w:t>
      </w:r>
      <w:r w:rsidR="00B75354">
        <w:rPr>
          <w:b/>
          <w:bCs/>
          <w:lang w:val="en-US" w:eastAsia="zh-CN"/>
        </w:rPr>
        <w:t xml:space="preserve">the impact on the </w:t>
      </w:r>
      <w:r w:rsidR="00916236">
        <w:rPr>
          <w:b/>
          <w:bCs/>
          <w:lang w:val="en-US" w:eastAsia="zh-CN"/>
        </w:rPr>
        <w:t>performance of the</w:t>
      </w:r>
      <w:r w:rsidR="00DE752C">
        <w:rPr>
          <w:b/>
          <w:bCs/>
          <w:lang w:val="en-US" w:eastAsia="zh-CN"/>
        </w:rPr>
        <w:t xml:space="preserve"> </w:t>
      </w:r>
      <w:r w:rsidR="00DD6F43">
        <w:rPr>
          <w:b/>
          <w:bCs/>
          <w:lang w:val="en-US" w:eastAsia="zh-CN"/>
        </w:rPr>
        <w:t>existed</w:t>
      </w:r>
      <w:r>
        <w:rPr>
          <w:rFonts w:hint="eastAsia"/>
          <w:b/>
          <w:bCs/>
          <w:lang w:val="en-US" w:eastAsia="zh-CN"/>
        </w:rPr>
        <w:t xml:space="preserve"> Wi-Fi system</w:t>
      </w:r>
      <w:r w:rsidR="00DD6F43">
        <w:rPr>
          <w:b/>
          <w:bCs/>
          <w:lang w:val="en-US" w:eastAsia="zh-CN"/>
        </w:rPr>
        <w:t xml:space="preserve"> is negligible</w:t>
      </w:r>
      <w:r>
        <w:rPr>
          <w:rFonts w:hint="eastAsia"/>
          <w:b/>
          <w:bCs/>
          <w:lang w:val="en-US" w:eastAsia="zh-CN"/>
        </w:rPr>
        <w:t xml:space="preserve">. </w:t>
      </w:r>
    </w:p>
    <w:p w:rsidR="00FC1DD4" w:rsidRDefault="00734F2E">
      <w:pPr>
        <w:pStyle w:val="Heading3"/>
        <w:rPr>
          <w:rFonts w:ascii="Times New Roman" w:hAnsi="Times New Roman" w:cs="Times New Roman"/>
          <w:b/>
          <w:bCs w:val="0"/>
          <w:lang w:val="en-US" w:eastAsia="zh-CN"/>
        </w:rPr>
      </w:pPr>
      <w:r>
        <w:rPr>
          <w:rFonts w:eastAsia="宋体" w:hint="eastAsia"/>
          <w:b/>
          <w:lang w:val="en-US" w:eastAsia="zh-CN"/>
        </w:rPr>
        <w:lastRenderedPageBreak/>
        <w:t xml:space="preserve"> </w:t>
      </w:r>
      <w:r>
        <w:rPr>
          <w:rFonts w:ascii="Times New Roman" w:hAnsi="Times New Roman" w:cs="Times New Roman" w:hint="eastAsia"/>
          <w:b/>
          <w:bCs w:val="0"/>
          <w:lang w:val="en-US" w:eastAsia="zh-CN"/>
        </w:rPr>
        <w:t>No</w:t>
      </w:r>
      <w:r>
        <w:rPr>
          <w:rFonts w:ascii="Times New Roman" w:hAnsi="Times New Roman" w:cs="Times New Roman"/>
          <w:b/>
          <w:bCs w:val="0"/>
          <w:lang w:val="en-US" w:eastAsia="zh-CN"/>
        </w:rPr>
        <w:t xml:space="preserve"> LBT</w:t>
      </w:r>
    </w:p>
    <w:p w:rsidR="00FC1DD4" w:rsidRDefault="00734F2E">
      <w:pPr>
        <w:pStyle w:val="BodyText"/>
        <w:jc w:val="both"/>
        <w:rPr>
          <w:lang w:val="en-US" w:eastAsia="zh-CN"/>
        </w:rPr>
      </w:pPr>
      <w:r>
        <w:rPr>
          <w:rFonts w:hint="eastAsia"/>
          <w:lang w:val="en-US" w:eastAsia="zh-CN"/>
        </w:rPr>
        <w:t xml:space="preserve">For COT sharing case in NR-U low frequency band such as below 7 GHz, No LBT is allowed to use in a case that the gap between DL and UL is less than or equal to 16us. Wherein, at least such rule can be used for a case that same beam direction is used in the DL or UL transmissions situation. </w:t>
      </w:r>
    </w:p>
    <w:p w:rsidR="00FC1DD4" w:rsidRDefault="00734F2E">
      <w:pPr>
        <w:pStyle w:val="BodyText"/>
        <w:jc w:val="both"/>
        <w:rPr>
          <w:lang w:val="en-US" w:eastAsia="zh-CN"/>
        </w:rPr>
      </w:pPr>
      <w:r>
        <w:rPr>
          <w:rFonts w:hint="eastAsia"/>
          <w:lang w:val="en-US" w:eastAsia="zh-CN"/>
        </w:rPr>
        <w:t>Another a straightforward use case is that No LBT can be used for some areas such as ITU region 2 and 3. That is to say, in these areas, the node cannot perform any LBT operation and directly transmit transmission before transmission. Wherein, in Europe area</w:t>
      </w:r>
      <w:r>
        <w:rPr>
          <w:rFonts w:eastAsia="宋体" w:hint="eastAsia"/>
          <w:lang w:val="en-US" w:eastAsia="zh-CN"/>
        </w:rPr>
        <w:t>, LBT is mandatory to be used for unlicensed carrier in order to comply with regulatory requirements applicable to frequencies between 57 GHz and 66 GHz.</w:t>
      </w:r>
    </w:p>
    <w:p w:rsidR="00FC1DD4" w:rsidRDefault="00734F2E">
      <w:pPr>
        <w:pStyle w:val="BodyText"/>
        <w:jc w:val="both"/>
        <w:rPr>
          <w:lang w:val="en-US" w:eastAsia="zh-CN"/>
        </w:rPr>
      </w:pPr>
      <w:r>
        <w:rPr>
          <w:rFonts w:hint="eastAsia"/>
          <w:lang w:val="en-US" w:eastAsia="zh-CN"/>
        </w:rPr>
        <w:t>Another use case that is easy to think of is interference controlled environment, that is, the node preparing to transmit does not interfere with the ongoing transmission node.</w:t>
      </w:r>
    </w:p>
    <w:p w:rsidR="00FC1DD4" w:rsidRDefault="00734F2E">
      <w:pPr>
        <w:pStyle w:val="BodyText"/>
        <w:jc w:val="both"/>
        <w:rPr>
          <w:sz w:val="21"/>
          <w:szCs w:val="22"/>
          <w:lang w:val="en-US" w:eastAsia="zh-CN"/>
        </w:rPr>
      </w:pPr>
      <w:r>
        <w:rPr>
          <w:rFonts w:hint="eastAsia"/>
          <w:lang w:val="en-US" w:eastAsia="zh-CN"/>
        </w:rPr>
        <w:t xml:space="preserve">A common case that NR-U and NR-U coexistence scenario if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 However, once one node falls into the beam range of another node, and LBT is not performed for the node preparing to transmit, then it may cause seriously </w:t>
      </w:r>
      <w:r w:rsidR="00916236">
        <w:rPr>
          <w:lang w:val="en-US" w:eastAsia="zh-CN"/>
        </w:rPr>
        <w:t>impact</w:t>
      </w:r>
      <w:r w:rsidR="00916236">
        <w:rPr>
          <w:rFonts w:hint="eastAsia"/>
          <w:lang w:val="en-US" w:eastAsia="zh-CN"/>
        </w:rPr>
        <w:t xml:space="preserve"> </w:t>
      </w:r>
      <w:r>
        <w:rPr>
          <w:rFonts w:hint="eastAsia"/>
          <w:lang w:val="en-US" w:eastAsia="zh-CN"/>
        </w:rPr>
        <w:t>on the performance of the node that is already transmitting.</w:t>
      </w:r>
      <w:r>
        <w:rPr>
          <w:rFonts w:hint="eastAsia"/>
          <w:sz w:val="21"/>
          <w:szCs w:val="22"/>
          <w:lang w:val="en-US" w:eastAsia="zh-CN"/>
        </w:rPr>
        <w:t xml:space="preserve"> </w:t>
      </w:r>
    </w:p>
    <w:p w:rsidR="00FC1DD4" w:rsidRDefault="00734F2E">
      <w:pPr>
        <w:tabs>
          <w:tab w:val="left" w:pos="450"/>
          <w:tab w:val="left" w:pos="720"/>
        </w:tabs>
        <w:jc w:val="both"/>
        <w:rPr>
          <w:highlight w:val="yellow"/>
          <w:lang w:val="en-US" w:eastAsia="zh-CN"/>
        </w:rPr>
      </w:pPr>
      <w:r>
        <w:rPr>
          <w:rFonts w:hint="eastAsia"/>
          <w:b/>
          <w:bCs/>
          <w:lang w:val="en-US" w:eastAsia="zh-CN"/>
        </w:rPr>
        <w:t>Observation 3: At least No LBT can be considered to be used in COT sharing case and interference controlled environment.</w:t>
      </w:r>
    </w:p>
    <w:p w:rsidR="00FC1DD4" w:rsidRDefault="00734F2E">
      <w:pPr>
        <w:pStyle w:val="BodyText"/>
        <w:jc w:val="both"/>
        <w:rPr>
          <w:b/>
          <w:bCs/>
          <w:lang w:val="en-US" w:eastAsia="zh-CN"/>
        </w:rPr>
      </w:pPr>
      <w:r>
        <w:rPr>
          <w:rFonts w:hint="eastAsia"/>
          <w:b/>
          <w:bCs/>
          <w:lang w:val="en-US" w:eastAsia="zh-CN"/>
        </w:rPr>
        <w:t xml:space="preserve">Proposal 2: Release 17 NR-U should consider supporting different channel access modes for above 52.6 GHz, e.g., directional LBT and No LBT. </w:t>
      </w:r>
    </w:p>
    <w:bookmarkEnd w:id="5"/>
    <w:p w:rsidR="00FC1DD4" w:rsidRDefault="00734F2E">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LBT for MCOT Sharing between DL and UL</w:t>
      </w:r>
    </w:p>
    <w:p w:rsidR="00FC1DD4" w:rsidRDefault="00734F2E">
      <w:pPr>
        <w:jc w:val="both"/>
        <w:rPr>
          <w:lang w:val="en-US" w:eastAsia="zh-CN"/>
        </w:rPr>
      </w:pPr>
      <w:r>
        <w:rPr>
          <w:rFonts w:hint="eastAsia"/>
          <w:lang w:val="en-US" w:eastAsia="zh-CN"/>
        </w:rPr>
        <w:t xml:space="preserve">In LTE-LAA, if the nodes perform Type1 channel access mechanism with omni-directional beam successfully, it </w:t>
      </w:r>
      <w:r>
        <w:rPr>
          <w:lang w:val="en-US" w:eastAsia="zh-CN"/>
        </w:rPr>
        <w:t>is</w:t>
      </w:r>
      <w:r>
        <w:rPr>
          <w:rFonts w:hint="eastAsia"/>
          <w:lang w:val="en-US" w:eastAsia="zh-CN"/>
        </w:rPr>
        <w:t xml:space="preserve"> allowed to transmit within a MCOT. Further, if this MCOT can be</w:t>
      </w:r>
      <w:r>
        <w:rPr>
          <w:lang w:val="en-US" w:eastAsia="zh-CN"/>
        </w:rPr>
        <w:t xml:space="preserve"> </w:t>
      </w:r>
      <w:r>
        <w:rPr>
          <w:rFonts w:hint="eastAsia"/>
          <w:lang w:val="en-US" w:eastAsia="zh-CN"/>
        </w:rPr>
        <w:t>shared with other nodes</w:t>
      </w:r>
      <w:r>
        <w:rPr>
          <w:lang w:val="en-US" w:eastAsia="zh-CN"/>
        </w:rPr>
        <w:t xml:space="preserve"> </w:t>
      </w:r>
      <w:r>
        <w:rPr>
          <w:rFonts w:hint="eastAsia"/>
          <w:lang w:val="en-US" w:eastAsia="zh-CN"/>
        </w:rPr>
        <w:t xml:space="preserve">(e.g., eNB or UE), the other nodes need to perform Type 2 channel access mechanism with omni-directional beam. </w:t>
      </w:r>
    </w:p>
    <w:p w:rsidR="00FC1DD4" w:rsidRDefault="00734F2E">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high frequency band may be different compared with LTE-LAA. Owing to the beamforming transmission mode, in order to transmit message to </w:t>
      </w:r>
      <w:r>
        <w:rPr>
          <w:lang w:val="en-US" w:eastAsia="zh-CN"/>
        </w:rPr>
        <w:t xml:space="preserve">the </w:t>
      </w:r>
      <w:r>
        <w:rPr>
          <w:rFonts w:hint="eastAsia"/>
          <w:lang w:val="en-US" w:eastAsia="zh-CN"/>
        </w:rPr>
        <w:t>serving UEs in a certain beam range, gNB needs to transmit different beams toward different directions, which can be within the same or different time units. Therefore, for this situation, if LTE-LAA LBT for MOCT is simply reused, gNB only performs a omni-directional LBT at the beginning of the MCOT and does not perform any LBT operation for the remaining DL transmission within MCOT, it may cause a problem that within MCOT some beams experience an unoccupied channel and the other beams encounter a channel with higher interference from other coexisting nodes. In order to avoid this issue, same beam direction can be used for consecutive transmission, or enhancement channel access schemes for COT sharing case or introduce gap for LBT between DL/UL consecutive transmissions with different beams within COT.</w:t>
      </w:r>
    </w:p>
    <w:p w:rsidR="00FC1DD4" w:rsidRDefault="00734F2E">
      <w:pPr>
        <w:spacing w:line="260" w:lineRule="auto"/>
        <w:jc w:val="both"/>
        <w:rPr>
          <w:b/>
          <w:bCs/>
          <w:lang w:val="en-US" w:eastAsia="zh-CN"/>
        </w:rPr>
      </w:pPr>
      <w:r>
        <w:rPr>
          <w:rFonts w:hint="eastAsia"/>
          <w:b/>
          <w:bCs/>
          <w:lang w:val="en-US" w:eastAsia="zh-CN"/>
        </w:rPr>
        <w:t xml:space="preserve">Proposal 3: For multiple transmission(s) with different beams case, channel condition difference for different beams </w:t>
      </w:r>
      <w:r>
        <w:rPr>
          <w:b/>
          <w:bCs/>
          <w:lang w:val="en-US" w:eastAsia="zh-CN"/>
        </w:rPr>
        <w:t xml:space="preserve">should be considered </w:t>
      </w:r>
      <w:r>
        <w:rPr>
          <w:rFonts w:hint="eastAsia"/>
          <w:b/>
          <w:bCs/>
          <w:lang w:val="en-US" w:eastAsia="zh-CN"/>
        </w:rPr>
        <w:t xml:space="preserve">when designing the channel access schemes for COT </w:t>
      </w:r>
      <w:r>
        <w:rPr>
          <w:b/>
          <w:bCs/>
          <w:lang w:val="en-US" w:eastAsia="zh-CN"/>
        </w:rPr>
        <w:t>s</w:t>
      </w:r>
      <w:r>
        <w:rPr>
          <w:rFonts w:hint="eastAsia"/>
          <w:b/>
          <w:bCs/>
          <w:lang w:val="en-US" w:eastAsia="zh-CN"/>
        </w:rPr>
        <w:t xml:space="preserve">haring in NR unlicensed spectrum. </w:t>
      </w:r>
    </w:p>
    <w:bookmarkEnd w:id="0"/>
    <w:bookmarkEnd w:id="1"/>
    <w:bookmarkEnd w:id="2"/>
    <w:bookmarkEnd w:id="3"/>
    <w:bookmarkEnd w:id="4"/>
    <w:p w:rsidR="00FC1DD4" w:rsidRDefault="00734F2E">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FC1DD4" w:rsidRDefault="00734F2E">
      <w:pPr>
        <w:rPr>
          <w:lang w:val="en-US" w:eastAsia="zh-CN"/>
        </w:rPr>
      </w:pPr>
      <w:r>
        <w:rPr>
          <w:rFonts w:hint="eastAsia"/>
          <w:lang w:val="en-US" w:eastAsia="zh-CN"/>
        </w:rPr>
        <w:t xml:space="preserve">In this contribution, we share some our views on channel access mechanism for frequencies between </w:t>
      </w:r>
      <w:r>
        <w:rPr>
          <w:rFonts w:eastAsia="宋体" w:hint="eastAsia"/>
          <w:lang w:val="en-US" w:eastAsia="zh-CN"/>
        </w:rPr>
        <w:t>52.6 GHz and 71 GHz</w:t>
      </w:r>
      <w:r>
        <w:rPr>
          <w:lang w:val="en-US"/>
        </w:rPr>
        <w:t xml:space="preserve"> in different aspects</w:t>
      </w:r>
      <w:r>
        <w:rPr>
          <w:rFonts w:eastAsia="宋体" w:hint="eastAsia"/>
          <w:lang w:val="en-US" w:eastAsia="zh-CN"/>
        </w:rPr>
        <w:t xml:space="preserve"> and provide </w:t>
      </w:r>
      <w:r>
        <w:rPr>
          <w:rFonts w:hint="eastAsia"/>
          <w:lang w:val="en-US" w:eastAsia="zh-CN"/>
        </w:rPr>
        <w:t>the following proposal:</w:t>
      </w:r>
    </w:p>
    <w:p w:rsidR="00FC1DD4" w:rsidRDefault="00734F2E">
      <w:pPr>
        <w:jc w:val="both"/>
        <w:rPr>
          <w:rFonts w:eastAsia="宋体"/>
          <w:lang w:val="en-US" w:eastAsia="zh-CN"/>
        </w:rPr>
      </w:pPr>
      <w:r>
        <w:rPr>
          <w:rFonts w:eastAsia="宋体" w:hint="eastAsia"/>
          <w:b/>
          <w:bCs/>
          <w:lang w:val="en-US" w:eastAsia="zh-CN"/>
        </w:rPr>
        <w:lastRenderedPageBreak/>
        <w:t>Proposal 1:</w:t>
      </w:r>
      <w:r>
        <w:rPr>
          <w:rFonts w:eastAsia="宋体" w:hint="eastAsia"/>
          <w:lang w:val="en-US" w:eastAsia="zh-CN"/>
        </w:rPr>
        <w:t xml:space="preserve"> </w:t>
      </w:r>
      <w:r>
        <w:rPr>
          <w:rFonts w:eastAsia="宋体" w:hint="eastAsia"/>
          <w:b/>
          <w:bCs/>
          <w:lang w:val="en-US" w:eastAsia="zh-CN"/>
        </w:rPr>
        <w:t>The following r</w:t>
      </w:r>
      <w:r>
        <w:rPr>
          <w:b/>
          <w:bCs/>
          <w:lang w:val="en-US"/>
        </w:rPr>
        <w:t xml:space="preserve">egulation rules </w:t>
      </w:r>
      <w:r>
        <w:rPr>
          <w:rFonts w:eastAsia="宋体" w:hint="eastAsia"/>
          <w:b/>
          <w:bCs/>
          <w:lang w:val="en-US" w:eastAsia="zh-CN"/>
        </w:rPr>
        <w:t>for above 52.6 GHz</w:t>
      </w:r>
      <w:r>
        <w:rPr>
          <w:b/>
          <w:bCs/>
          <w:lang w:val="en-US"/>
        </w:rPr>
        <w:t xml:space="preserve">, </w:t>
      </w:r>
      <w:r>
        <w:rPr>
          <w:rFonts w:eastAsia="宋体" w:hint="eastAsia"/>
          <w:b/>
          <w:bCs/>
          <w:lang w:val="en-US" w:eastAsia="zh-CN"/>
        </w:rPr>
        <w:t>including</w:t>
      </w:r>
      <w:r>
        <w:rPr>
          <w:b/>
          <w:bCs/>
          <w:lang w:val="en-US"/>
        </w:rPr>
        <w:t xml:space="preserve"> channel access,</w:t>
      </w:r>
      <w:r>
        <w:rPr>
          <w:rFonts w:eastAsia="宋体" w:hint="eastAsia"/>
          <w:b/>
          <w:bCs/>
          <w:lang w:val="en-US" w:eastAsia="zh-CN"/>
        </w:rPr>
        <w:t xml:space="preserve"> OCB, COT, EIRP and PSD</w:t>
      </w:r>
      <w:r>
        <w:rPr>
          <w:b/>
          <w:bCs/>
          <w:lang w:val="en-US"/>
        </w:rPr>
        <w:t xml:space="preserve"> </w:t>
      </w:r>
      <w:r>
        <w:rPr>
          <w:rFonts w:eastAsia="宋体" w:hint="eastAsia"/>
          <w:b/>
          <w:bCs/>
          <w:lang w:val="en-US" w:eastAsia="zh-CN"/>
        </w:rPr>
        <w:t xml:space="preserve">should be supported and enhanced </w:t>
      </w:r>
      <w:r>
        <w:rPr>
          <w:b/>
          <w:bCs/>
          <w:lang w:val="en-US"/>
        </w:rPr>
        <w:t>to achieve good spectrum sharing</w:t>
      </w:r>
      <w:r>
        <w:rPr>
          <w:rFonts w:eastAsia="宋体" w:hint="eastAsia"/>
          <w:b/>
          <w:bCs/>
          <w:lang w:val="en-US" w:eastAsia="zh-CN"/>
        </w:rPr>
        <w:t xml:space="preserve"> with other systems.</w:t>
      </w:r>
    </w:p>
    <w:p w:rsidR="00FC1DD4" w:rsidRDefault="00734F2E">
      <w:pPr>
        <w:tabs>
          <w:tab w:val="left" w:pos="450"/>
          <w:tab w:val="left" w:pos="720"/>
        </w:tabs>
        <w:jc w:val="both"/>
        <w:rPr>
          <w:b/>
          <w:bCs/>
          <w:lang w:val="en-US" w:eastAsia="zh-CN"/>
        </w:rPr>
      </w:pPr>
      <w:r>
        <w:rPr>
          <w:rFonts w:hint="eastAsia"/>
          <w:b/>
          <w:bCs/>
          <w:lang w:val="en-US" w:eastAsia="zh-CN"/>
        </w:rPr>
        <w:t>Observation 1: According to regulation of ETSI EN 302 567, at least LBT operation should be supported in Europe area for above 52.6 GHz.</w:t>
      </w:r>
    </w:p>
    <w:p w:rsidR="00FC1DD4" w:rsidRDefault="00734F2E">
      <w:pPr>
        <w:tabs>
          <w:tab w:val="left" w:pos="450"/>
          <w:tab w:val="left" w:pos="720"/>
        </w:tabs>
        <w:jc w:val="both"/>
        <w:rPr>
          <w:lang w:val="en-US" w:eastAsia="zh-CN"/>
        </w:rPr>
      </w:pPr>
      <w:r>
        <w:rPr>
          <w:rFonts w:hint="eastAsia"/>
          <w:b/>
          <w:bCs/>
          <w:lang w:val="en-US" w:eastAsia="zh-CN"/>
        </w:rPr>
        <w:t>Observation 2: Compared to omni-directional LBT, directional LBT is benefi</w:t>
      </w:r>
      <w:r w:rsidR="003D1881">
        <w:rPr>
          <w:b/>
          <w:bCs/>
          <w:lang w:val="en-US" w:eastAsia="zh-CN"/>
        </w:rPr>
        <w:t>cial</w:t>
      </w:r>
      <w:r>
        <w:rPr>
          <w:rFonts w:hint="eastAsia"/>
          <w:b/>
          <w:bCs/>
          <w:lang w:val="en-US" w:eastAsia="zh-CN"/>
        </w:rPr>
        <w:t xml:space="preserve"> to increase the probability of channel access and the spatial reuse efficiency for NR-U</w:t>
      </w:r>
      <w:r w:rsidR="00916236">
        <w:rPr>
          <w:b/>
          <w:bCs/>
          <w:lang w:val="en-US" w:eastAsia="zh-CN"/>
        </w:rPr>
        <w:t>,</w:t>
      </w:r>
      <w:r w:rsidR="003846BC">
        <w:rPr>
          <w:rFonts w:hint="eastAsia"/>
          <w:b/>
          <w:bCs/>
          <w:lang w:val="en-US" w:eastAsia="zh-CN"/>
        </w:rPr>
        <w:t xml:space="preserve"> and</w:t>
      </w:r>
      <w:bookmarkStart w:id="6" w:name="_GoBack"/>
      <w:bookmarkEnd w:id="6"/>
      <w:r w:rsidR="00916236" w:rsidRPr="00916236">
        <w:rPr>
          <w:b/>
          <w:bCs/>
          <w:lang w:val="en-US" w:eastAsia="zh-CN"/>
        </w:rPr>
        <w:t xml:space="preserve"> </w:t>
      </w:r>
      <w:r w:rsidR="00916236">
        <w:rPr>
          <w:b/>
          <w:bCs/>
          <w:lang w:val="en-US" w:eastAsia="zh-CN"/>
        </w:rPr>
        <w:t>the impact on the</w:t>
      </w:r>
      <w:r>
        <w:rPr>
          <w:rFonts w:hint="eastAsia"/>
          <w:b/>
          <w:bCs/>
          <w:lang w:val="en-US" w:eastAsia="zh-CN"/>
        </w:rPr>
        <w:t xml:space="preserve"> performance </w:t>
      </w:r>
      <w:r w:rsidR="00916236">
        <w:rPr>
          <w:b/>
          <w:bCs/>
          <w:lang w:val="en-US" w:eastAsia="zh-CN"/>
        </w:rPr>
        <w:t>of the existed</w:t>
      </w:r>
      <w:r>
        <w:rPr>
          <w:rFonts w:hint="eastAsia"/>
          <w:b/>
          <w:bCs/>
          <w:lang w:val="en-US" w:eastAsia="zh-CN"/>
        </w:rPr>
        <w:t xml:space="preserve"> Wi-Fi system</w:t>
      </w:r>
      <w:r w:rsidR="00916236">
        <w:rPr>
          <w:b/>
          <w:bCs/>
          <w:lang w:val="en-US" w:eastAsia="zh-CN"/>
        </w:rPr>
        <w:t xml:space="preserve"> is negligible</w:t>
      </w:r>
      <w:r>
        <w:rPr>
          <w:rFonts w:hint="eastAsia"/>
          <w:b/>
          <w:bCs/>
          <w:lang w:val="en-US" w:eastAsia="zh-CN"/>
        </w:rPr>
        <w:t xml:space="preserve">. </w:t>
      </w:r>
    </w:p>
    <w:p w:rsidR="00FC1DD4" w:rsidRDefault="00734F2E">
      <w:pPr>
        <w:tabs>
          <w:tab w:val="left" w:pos="450"/>
          <w:tab w:val="left" w:pos="720"/>
        </w:tabs>
        <w:jc w:val="both"/>
        <w:rPr>
          <w:highlight w:val="yellow"/>
          <w:lang w:val="en-US" w:eastAsia="zh-CN"/>
        </w:rPr>
      </w:pPr>
      <w:r>
        <w:rPr>
          <w:rFonts w:hint="eastAsia"/>
          <w:b/>
          <w:bCs/>
          <w:lang w:val="en-US" w:eastAsia="zh-CN"/>
        </w:rPr>
        <w:t>Observation 3: At least No LBT can be considered to be used in COT sharing case and interference controlled environment.</w:t>
      </w:r>
    </w:p>
    <w:p w:rsidR="00FC1DD4" w:rsidRDefault="00734F2E">
      <w:pPr>
        <w:pStyle w:val="BodyText"/>
        <w:rPr>
          <w:b/>
          <w:bCs/>
          <w:lang w:val="en-US" w:eastAsia="zh-CN"/>
        </w:rPr>
      </w:pPr>
      <w:r>
        <w:rPr>
          <w:rFonts w:hint="eastAsia"/>
          <w:b/>
          <w:bCs/>
          <w:lang w:val="en-US" w:eastAsia="zh-CN"/>
        </w:rPr>
        <w:t xml:space="preserve">Proposal 2: Release 17 NR-U should consider supporting different channel access modes for above 52.6 GHz, e.g., directional LBT and No LBT. </w:t>
      </w:r>
    </w:p>
    <w:p w:rsidR="00FC1DD4" w:rsidRDefault="00734F2E">
      <w:pPr>
        <w:spacing w:line="260" w:lineRule="auto"/>
        <w:jc w:val="both"/>
        <w:rPr>
          <w:b/>
          <w:bCs/>
          <w:lang w:val="en-US" w:eastAsia="zh-CN"/>
        </w:rPr>
      </w:pPr>
      <w:r>
        <w:rPr>
          <w:rFonts w:hint="eastAsia"/>
          <w:b/>
          <w:bCs/>
          <w:lang w:val="en-US" w:eastAsia="zh-CN"/>
        </w:rPr>
        <w:t xml:space="preserve">Proposal 3: For multiple transmission(s) with different beams case, channel condition difference for different beams </w:t>
      </w:r>
      <w:r>
        <w:rPr>
          <w:b/>
          <w:bCs/>
          <w:lang w:val="en-US" w:eastAsia="zh-CN"/>
        </w:rPr>
        <w:t xml:space="preserve">should be considered </w:t>
      </w:r>
      <w:r>
        <w:rPr>
          <w:rFonts w:hint="eastAsia"/>
          <w:b/>
          <w:bCs/>
          <w:lang w:val="en-US" w:eastAsia="zh-CN"/>
        </w:rPr>
        <w:t xml:space="preserve">when designing the channel access schemes for COT </w:t>
      </w:r>
      <w:r>
        <w:rPr>
          <w:b/>
          <w:bCs/>
          <w:lang w:val="en-US" w:eastAsia="zh-CN"/>
        </w:rPr>
        <w:t>s</w:t>
      </w:r>
      <w:r>
        <w:rPr>
          <w:rFonts w:hint="eastAsia"/>
          <w:b/>
          <w:bCs/>
          <w:lang w:val="en-US" w:eastAsia="zh-CN"/>
        </w:rPr>
        <w:t xml:space="preserve">haring in NR unlicensed spectrum. </w:t>
      </w:r>
    </w:p>
    <w:p w:rsidR="00FC1DD4" w:rsidRDefault="00734F2E">
      <w:pPr>
        <w:pStyle w:val="Heading1"/>
        <w:spacing w:before="120" w:after="120" w:line="240" w:lineRule="auto"/>
        <w:jc w:val="both"/>
        <w:rPr>
          <w:rFonts w:ascii="Times New Roman" w:eastAsia="宋体" w:hAnsi="Times New Roman"/>
          <w:b/>
          <w:sz w:val="32"/>
          <w:szCs w:val="32"/>
          <w:lang w:val="en-US" w:eastAsia="zh-CN"/>
        </w:rPr>
      </w:pPr>
      <w:bookmarkStart w:id="7" w:name="IDX-CHP-8-0994"/>
      <w:bookmarkStart w:id="8" w:name="IDX-CHP-8-0996"/>
      <w:bookmarkStart w:id="9" w:name="IDX-CHP-8-0995"/>
      <w:bookmarkStart w:id="10" w:name="IDX-CHP-8-0993"/>
      <w:bookmarkStart w:id="11" w:name="IDX-CHP-8-0992"/>
      <w:bookmarkEnd w:id="7"/>
      <w:bookmarkEnd w:id="8"/>
      <w:bookmarkEnd w:id="9"/>
      <w:bookmarkEnd w:id="10"/>
      <w:bookmarkEnd w:id="11"/>
      <w:r>
        <w:rPr>
          <w:rFonts w:ascii="Times New Roman" w:eastAsia="宋体" w:hAnsi="Times New Roman" w:hint="eastAsia"/>
          <w:b/>
          <w:sz w:val="32"/>
          <w:szCs w:val="32"/>
          <w:lang w:val="en-US" w:eastAsia="zh-CN"/>
        </w:rPr>
        <w:t xml:space="preserve"> Reference</w:t>
      </w:r>
    </w:p>
    <w:p w:rsidR="00FC1DD4" w:rsidRDefault="00734F2E">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bookmarkStart w:id="12" w:name="_Ref481486326"/>
      <w:bookmarkStart w:id="13" w:name="_Ref479756368"/>
      <w:r>
        <w:rPr>
          <w:lang w:val="en-US"/>
        </w:rPr>
        <w:t>RP-1</w:t>
      </w:r>
      <w:r>
        <w:rPr>
          <w:rFonts w:eastAsia="宋体" w:hint="eastAsia"/>
          <w:lang w:val="en-US" w:eastAsia="zh-CN"/>
        </w:rPr>
        <w:t>93259</w:t>
      </w:r>
      <w:r>
        <w:rPr>
          <w:lang w:val="en-US"/>
        </w:rPr>
        <w:t>, “</w:t>
      </w:r>
      <w:r>
        <w:rPr>
          <w:lang w:val="en-US" w:eastAsia="zh-CN"/>
        </w:rPr>
        <w:t>New SID: Study on supporting NR from 52.6GHz to 71GHz</w:t>
      </w:r>
      <w:r>
        <w:rPr>
          <w:lang w:val="en-US"/>
        </w:rPr>
        <w:t xml:space="preserve">”, </w:t>
      </w:r>
      <w:bookmarkEnd w:id="12"/>
      <w:bookmarkEnd w:id="13"/>
      <w:r>
        <w:rPr>
          <w:rFonts w:eastAsia="宋体" w:hint="eastAsia"/>
          <w:lang w:val="en-US" w:eastAsia="zh-CN"/>
        </w:rPr>
        <w:t>Intel</w:t>
      </w:r>
    </w:p>
    <w:p w:rsidR="00FC1DD4" w:rsidRDefault="00734F2E">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ETSI EN 30</w:t>
      </w:r>
      <w:r>
        <w:rPr>
          <w:rFonts w:eastAsia="宋体" w:hint="eastAsia"/>
          <w:lang w:val="en-US" w:eastAsia="zh-CN"/>
        </w:rPr>
        <w:t>2</w:t>
      </w:r>
      <w:r>
        <w:rPr>
          <w:rFonts w:eastAsia="宋体"/>
          <w:lang w:val="en-US" w:eastAsia="zh-CN"/>
        </w:rPr>
        <w:t xml:space="preserve"> </w:t>
      </w:r>
      <w:r>
        <w:rPr>
          <w:rFonts w:eastAsia="宋体" w:hint="eastAsia"/>
          <w:lang w:val="en-US" w:eastAsia="zh-CN"/>
        </w:rPr>
        <w:t xml:space="preserve">567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 xml:space="preserve">.1, Harmonized European Standard, </w:t>
      </w:r>
      <w:r>
        <w:rPr>
          <w:rFonts w:eastAsia="宋体" w:hint="eastAsia"/>
          <w:lang w:val="en-US" w:eastAsia="zh-CN"/>
        </w:rPr>
        <w:t>Multiple-Gigabit/s radio equipment operating in the 60GHz band, 2017-07</w:t>
      </w:r>
    </w:p>
    <w:p w:rsidR="00FC1DD4" w:rsidRDefault="00734F2E">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3GPP TR 38.807-100: </w:t>
      </w:r>
      <w:r>
        <w:rPr>
          <w:rFonts w:eastAsia="宋体"/>
          <w:lang w:val="en-US" w:eastAsia="zh-CN"/>
        </w:rPr>
        <w:t>“</w:t>
      </w:r>
      <w:r>
        <w:rPr>
          <w:rFonts w:eastAsia="宋体" w:hint="eastAsia"/>
          <w:lang w:val="en-US" w:eastAsia="zh-CN"/>
        </w:rPr>
        <w:t>Study on requirements for NR beyond 52.6 GHz</w:t>
      </w:r>
      <w:r>
        <w:rPr>
          <w:rFonts w:eastAsia="宋体"/>
          <w:lang w:val="en-US" w:eastAsia="zh-CN"/>
        </w:rPr>
        <w:t>”</w:t>
      </w:r>
    </w:p>
    <w:p w:rsidR="00FC1DD4" w:rsidRDefault="00734F2E">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R1-2005609, </w:t>
      </w:r>
      <w:r>
        <w:rPr>
          <w:rFonts w:eastAsia="宋体"/>
          <w:lang w:val="en-US" w:eastAsia="zh-CN"/>
        </w:rPr>
        <w:t>“</w:t>
      </w:r>
      <w:r>
        <w:rPr>
          <w:rFonts w:eastAsia="宋体" w:hint="eastAsia"/>
          <w:lang w:val="en-US" w:eastAsia="zh-CN"/>
        </w:rPr>
        <w:t>Preliminary simulation results for above 52.6GHz</w:t>
      </w:r>
      <w:r>
        <w:rPr>
          <w:rFonts w:eastAsia="宋体"/>
          <w:lang w:val="en-US" w:eastAsia="zh-CN"/>
        </w:rPr>
        <w:t>”</w:t>
      </w:r>
      <w:r>
        <w:rPr>
          <w:rFonts w:eastAsia="宋体" w:hint="eastAsia"/>
          <w:lang w:val="en-US" w:eastAsia="zh-CN"/>
        </w:rPr>
        <w:t>, ZTE, Sanechip</w:t>
      </w:r>
    </w:p>
    <w:p w:rsidR="00FC1DD4" w:rsidRDefault="00734F2E">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RP-172021</w:t>
      </w:r>
      <w:r>
        <w:rPr>
          <w:rFonts w:eastAsia="宋体" w:hint="eastAsia"/>
          <w:lang w:val="en-US" w:eastAsia="zh-CN"/>
        </w:rPr>
        <w:t xml:space="preserve">, </w:t>
      </w:r>
      <w:r>
        <w:rPr>
          <w:rFonts w:eastAsia="宋体"/>
          <w:lang w:val="en-US" w:eastAsia="zh-CN"/>
        </w:rPr>
        <w:t>“Revised SID on NR-based Access to Unlicensed Spectrum”</w:t>
      </w:r>
      <w:r>
        <w:rPr>
          <w:rFonts w:eastAsia="宋体" w:hint="eastAsia"/>
          <w:lang w:val="en-US" w:eastAsia="zh-CN"/>
        </w:rPr>
        <w:t>, Qualcomm</w:t>
      </w:r>
    </w:p>
    <w:p w:rsidR="00FC1DD4" w:rsidRDefault="00734F2E">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3GPP TR 38.889-001: </w:t>
      </w:r>
      <w:r>
        <w:rPr>
          <w:rFonts w:eastAsia="宋体"/>
          <w:lang w:val="en-US" w:eastAsia="zh-CN"/>
        </w:rPr>
        <w:t>“</w:t>
      </w:r>
      <w:r>
        <w:rPr>
          <w:rFonts w:eastAsia="MS Mincho"/>
        </w:rPr>
        <w:t>Study on NR-based Access to Unlicensed Spectrum</w:t>
      </w:r>
      <w:r>
        <w:rPr>
          <w:rFonts w:eastAsia="宋体"/>
          <w:lang w:val="en-US" w:eastAsia="zh-CN"/>
        </w:rPr>
        <w:t>”</w:t>
      </w:r>
    </w:p>
    <w:p w:rsidR="00FC1DD4" w:rsidRDefault="00734F2E">
      <w:pPr>
        <w:pStyle w:val="Heading1"/>
        <w:spacing w:before="120" w:after="120"/>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Appendix</w:t>
      </w:r>
    </w:p>
    <w:p w:rsidR="00FC1DD4" w:rsidRDefault="00734F2E">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w:t>
      </w:r>
      <w:r>
        <w:rPr>
          <w:rFonts w:ascii="Times New Roman" w:hAnsi="Times New Roman"/>
          <w:b/>
          <w:bCs w:val="0"/>
          <w:lang w:val="en-US" w:eastAsia="zh-CN"/>
        </w:rPr>
        <w:t>SLS assumptions</w:t>
      </w:r>
    </w:p>
    <w:tbl>
      <w:tblPr>
        <w:tblStyle w:val="TableGrid"/>
        <w:tblW w:w="7782" w:type="dxa"/>
        <w:jc w:val="center"/>
        <w:tblLayout w:type="fixed"/>
        <w:tblLook w:val="04A0" w:firstRow="1" w:lastRow="0" w:firstColumn="1" w:lastColumn="0" w:noHBand="0" w:noVBand="1"/>
      </w:tblPr>
      <w:tblGrid>
        <w:gridCol w:w="3255"/>
        <w:gridCol w:w="4527"/>
      </w:tblGrid>
      <w:tr w:rsidR="00FC1DD4">
        <w:trPr>
          <w:jc w:val="center"/>
        </w:trPr>
        <w:tc>
          <w:tcPr>
            <w:tcW w:w="3255" w:type="dxa"/>
            <w:shd w:val="clear" w:color="auto" w:fill="A5A5A5" w:themeFill="accent3"/>
            <w:vAlign w:val="center"/>
          </w:tcPr>
          <w:p w:rsidR="00FC1DD4" w:rsidRDefault="00734F2E">
            <w:pPr>
              <w:pStyle w:val="TAH"/>
              <w:rPr>
                <w:rFonts w:ascii="Times New Roman" w:hAnsi="Times New Roman"/>
                <w:sz w:val="20"/>
                <w:lang w:val="en-US"/>
              </w:rPr>
            </w:pPr>
            <w:r>
              <w:rPr>
                <w:rFonts w:ascii="Times New Roman" w:hAnsi="Times New Roman"/>
                <w:sz w:val="20"/>
                <w:lang w:val="en-US"/>
              </w:rPr>
              <w:t>Parameters</w:t>
            </w:r>
          </w:p>
        </w:tc>
        <w:tc>
          <w:tcPr>
            <w:tcW w:w="4527" w:type="dxa"/>
            <w:shd w:val="clear" w:color="auto" w:fill="A5A5A5" w:themeFill="accent3"/>
            <w:vAlign w:val="center"/>
          </w:tcPr>
          <w:p w:rsidR="00FC1DD4" w:rsidRDefault="00734F2E">
            <w:pPr>
              <w:pStyle w:val="TAH"/>
              <w:rPr>
                <w:rFonts w:ascii="Times New Roman" w:hAnsi="Times New Roman"/>
                <w:sz w:val="20"/>
                <w:lang w:val="en-US" w:eastAsia="zh-CN"/>
              </w:rPr>
            </w:pPr>
            <w:r>
              <w:rPr>
                <w:rFonts w:ascii="Times New Roman" w:hAnsi="Times New Roman"/>
                <w:sz w:val="20"/>
                <w:lang w:val="en-US" w:eastAsia="zh-CN"/>
              </w:rPr>
              <w:t>Values or Assumptions</w:t>
            </w:r>
          </w:p>
        </w:tc>
      </w:tr>
      <w:tr w:rsidR="00FC1DD4">
        <w:trPr>
          <w:jc w:val="center"/>
        </w:trPr>
        <w:tc>
          <w:tcPr>
            <w:tcW w:w="3255" w:type="dxa"/>
            <w:vAlign w:val="center"/>
          </w:tcPr>
          <w:p w:rsidR="00FC1DD4" w:rsidRDefault="00734F2E">
            <w:pPr>
              <w:spacing w:after="0" w:line="260" w:lineRule="auto"/>
              <w:jc w:val="center"/>
              <w:rPr>
                <w:lang w:val="en-US"/>
              </w:rPr>
            </w:pPr>
            <w:r>
              <w:rPr>
                <w:lang w:val="en-US"/>
              </w:rPr>
              <w:t>Carrier Frequency</w:t>
            </w:r>
          </w:p>
        </w:tc>
        <w:tc>
          <w:tcPr>
            <w:tcW w:w="4527" w:type="dxa"/>
            <w:vAlign w:val="center"/>
          </w:tcPr>
          <w:p w:rsidR="00FC1DD4" w:rsidRDefault="00734F2E">
            <w:pPr>
              <w:spacing w:after="0" w:line="260" w:lineRule="auto"/>
              <w:jc w:val="center"/>
              <w:rPr>
                <w:rFonts w:eastAsia="宋体"/>
                <w:lang w:val="en-US" w:eastAsia="zh-CN"/>
              </w:rPr>
            </w:pPr>
            <w:r>
              <w:rPr>
                <w:lang w:val="en-US" w:eastAsia="zh-CN"/>
              </w:rPr>
              <w:t>60</w:t>
            </w:r>
            <w:r>
              <w:rPr>
                <w:rFonts w:hint="eastAsia"/>
                <w:lang w:val="en-US" w:eastAsia="zh-CN"/>
              </w:rPr>
              <w:t xml:space="preserve"> </w:t>
            </w:r>
            <w:r>
              <w:rPr>
                <w:lang w:val="en-US" w:eastAsia="zh-CN"/>
              </w:rPr>
              <w:t>GHz</w:t>
            </w:r>
          </w:p>
        </w:tc>
      </w:tr>
      <w:tr w:rsidR="00FC1DD4">
        <w:trPr>
          <w:jc w:val="center"/>
        </w:trPr>
        <w:tc>
          <w:tcPr>
            <w:tcW w:w="3255" w:type="dxa"/>
            <w:vAlign w:val="center"/>
          </w:tcPr>
          <w:p w:rsidR="00FC1DD4" w:rsidRDefault="00734F2E">
            <w:pPr>
              <w:spacing w:after="0" w:line="260" w:lineRule="auto"/>
              <w:jc w:val="center"/>
              <w:rPr>
                <w:lang w:val="en-US" w:eastAsia="zh-CN"/>
              </w:rPr>
            </w:pPr>
            <w:r>
              <w:rPr>
                <w:lang w:val="en-US" w:eastAsia="zh-CN"/>
              </w:rPr>
              <w:t>Channel Bandwidth</w:t>
            </w:r>
          </w:p>
        </w:tc>
        <w:tc>
          <w:tcPr>
            <w:tcW w:w="4527" w:type="dxa"/>
            <w:vAlign w:val="center"/>
          </w:tcPr>
          <w:p w:rsidR="00FC1DD4" w:rsidRDefault="00734F2E">
            <w:pPr>
              <w:spacing w:after="0" w:line="260" w:lineRule="auto"/>
              <w:jc w:val="center"/>
              <w:rPr>
                <w:lang w:val="en-US" w:eastAsia="zh-CN"/>
              </w:rPr>
            </w:pPr>
            <w:r>
              <w:rPr>
                <w:lang w:val="en-US" w:eastAsia="zh-CN"/>
              </w:rPr>
              <w:t>2</w:t>
            </w:r>
            <w:r>
              <w:rPr>
                <w:rFonts w:hint="eastAsia"/>
                <w:lang w:val="en-US" w:eastAsia="zh-CN"/>
              </w:rPr>
              <w:t xml:space="preserve"> </w:t>
            </w:r>
            <w:r>
              <w:rPr>
                <w:lang w:val="en-US" w:eastAsia="zh-CN"/>
              </w:rPr>
              <w:t>GHz</w:t>
            </w:r>
          </w:p>
        </w:tc>
      </w:tr>
      <w:tr w:rsidR="00FC1DD4">
        <w:trPr>
          <w:jc w:val="center"/>
        </w:trPr>
        <w:tc>
          <w:tcPr>
            <w:tcW w:w="3255" w:type="dxa"/>
            <w:vAlign w:val="center"/>
          </w:tcPr>
          <w:p w:rsidR="00FC1DD4" w:rsidRDefault="00734F2E">
            <w:pPr>
              <w:spacing w:after="0" w:line="260" w:lineRule="auto"/>
              <w:jc w:val="center"/>
              <w:rPr>
                <w:lang w:val="en-US" w:eastAsia="zh-CN"/>
              </w:rPr>
            </w:pPr>
            <w:r>
              <w:rPr>
                <w:lang w:val="en-US" w:eastAsia="zh-CN"/>
              </w:rPr>
              <w:t>Subcarrier spacing</w:t>
            </w:r>
          </w:p>
        </w:tc>
        <w:tc>
          <w:tcPr>
            <w:tcW w:w="4527" w:type="dxa"/>
            <w:vAlign w:val="center"/>
          </w:tcPr>
          <w:p w:rsidR="00FC1DD4" w:rsidRDefault="00734F2E">
            <w:pPr>
              <w:spacing w:after="0" w:line="260" w:lineRule="auto"/>
              <w:jc w:val="center"/>
              <w:rPr>
                <w:lang w:val="en-US" w:eastAsia="zh-CN"/>
              </w:rPr>
            </w:pPr>
            <w:r>
              <w:rPr>
                <w:lang w:val="en-US" w:eastAsia="zh-CN"/>
              </w:rPr>
              <w:t>960</w:t>
            </w:r>
            <w:r>
              <w:rPr>
                <w:rFonts w:hint="eastAsia"/>
                <w:lang w:val="en-US" w:eastAsia="zh-CN"/>
              </w:rPr>
              <w:t xml:space="preserve"> </w:t>
            </w:r>
            <w:r>
              <w:rPr>
                <w:lang w:val="en-US" w:eastAsia="zh-CN"/>
              </w:rPr>
              <w:t>kHz</w:t>
            </w:r>
          </w:p>
        </w:tc>
      </w:tr>
      <w:tr w:rsidR="00FC1DD4">
        <w:trPr>
          <w:jc w:val="center"/>
        </w:trPr>
        <w:tc>
          <w:tcPr>
            <w:tcW w:w="3255" w:type="dxa"/>
            <w:vAlign w:val="center"/>
          </w:tcPr>
          <w:p w:rsidR="00FC1DD4" w:rsidRDefault="00734F2E">
            <w:pPr>
              <w:spacing w:after="0" w:line="260" w:lineRule="auto"/>
              <w:jc w:val="center"/>
              <w:rPr>
                <w:lang w:val="en-US" w:eastAsia="zh-CN"/>
              </w:rPr>
            </w:pPr>
            <w:r>
              <w:rPr>
                <w:lang w:val="en-US" w:eastAsia="zh-CN"/>
              </w:rPr>
              <w:t>Scenario</w:t>
            </w:r>
          </w:p>
        </w:tc>
        <w:tc>
          <w:tcPr>
            <w:tcW w:w="4527" w:type="dxa"/>
            <w:vAlign w:val="center"/>
          </w:tcPr>
          <w:p w:rsidR="00FC1DD4" w:rsidRDefault="00734F2E">
            <w:pPr>
              <w:spacing w:after="0" w:line="260" w:lineRule="auto"/>
              <w:jc w:val="center"/>
              <w:rPr>
                <w:lang w:val="en-US" w:eastAsia="zh-CN"/>
              </w:rPr>
            </w:pPr>
            <w:r>
              <w:rPr>
                <w:lang w:val="en-US" w:eastAsia="zh-CN"/>
              </w:rPr>
              <w:t>Indoor A</w:t>
            </w:r>
          </w:p>
        </w:tc>
      </w:tr>
      <w:tr w:rsidR="00FC1DD4">
        <w:trPr>
          <w:jc w:val="center"/>
        </w:trPr>
        <w:tc>
          <w:tcPr>
            <w:tcW w:w="3255" w:type="dxa"/>
            <w:vAlign w:val="center"/>
          </w:tcPr>
          <w:p w:rsidR="00FC1DD4" w:rsidRDefault="00734F2E">
            <w:pPr>
              <w:spacing w:after="0" w:line="260" w:lineRule="auto"/>
              <w:jc w:val="center"/>
              <w:rPr>
                <w:lang w:val="en-US" w:eastAsia="zh-CN"/>
              </w:rPr>
            </w:pPr>
            <w:r>
              <w:rPr>
                <w:lang w:val="en-US" w:eastAsia="zh-CN"/>
              </w:rPr>
              <w:t>LBT schemes</w:t>
            </w:r>
          </w:p>
        </w:tc>
        <w:tc>
          <w:tcPr>
            <w:tcW w:w="4527" w:type="dxa"/>
            <w:vAlign w:val="center"/>
          </w:tcPr>
          <w:p w:rsidR="00FC1DD4" w:rsidRDefault="00734F2E">
            <w:pPr>
              <w:spacing w:after="0" w:line="260" w:lineRule="auto"/>
              <w:jc w:val="center"/>
              <w:rPr>
                <w:lang w:val="en-US" w:eastAsia="zh-CN"/>
              </w:rPr>
            </w:pPr>
            <w:r>
              <w:rPr>
                <w:lang w:val="en-US" w:eastAsia="zh-CN"/>
              </w:rPr>
              <w:t>Omni</w:t>
            </w:r>
            <w:r>
              <w:rPr>
                <w:rFonts w:hint="eastAsia"/>
                <w:lang w:val="en-US" w:eastAsia="zh-CN"/>
              </w:rPr>
              <w:t>-</w:t>
            </w:r>
            <w:r>
              <w:rPr>
                <w:lang w:val="en-US" w:eastAsia="zh-CN"/>
              </w:rPr>
              <w:t>directional LBT</w:t>
            </w:r>
          </w:p>
          <w:p w:rsidR="00FC1DD4" w:rsidRDefault="00734F2E">
            <w:pPr>
              <w:spacing w:after="0" w:line="260" w:lineRule="auto"/>
              <w:jc w:val="center"/>
              <w:rPr>
                <w:lang w:val="en-US" w:eastAsia="zh-CN"/>
              </w:rPr>
            </w:pPr>
            <w:r>
              <w:rPr>
                <w:lang w:val="en-US" w:eastAsia="zh-CN"/>
              </w:rPr>
              <w:t>Directional LBT</w:t>
            </w:r>
          </w:p>
        </w:tc>
      </w:tr>
      <w:tr w:rsidR="00FC1DD4">
        <w:trPr>
          <w:jc w:val="center"/>
        </w:trPr>
        <w:tc>
          <w:tcPr>
            <w:tcW w:w="3255" w:type="dxa"/>
            <w:vAlign w:val="center"/>
          </w:tcPr>
          <w:p w:rsidR="00FC1DD4" w:rsidRDefault="00734F2E">
            <w:pPr>
              <w:spacing w:after="0" w:line="260" w:lineRule="auto"/>
              <w:jc w:val="center"/>
              <w:rPr>
                <w:lang w:val="en-US" w:eastAsia="zh-CN"/>
              </w:rPr>
            </w:pPr>
            <w:r>
              <w:rPr>
                <w:lang w:val="en-US" w:eastAsia="zh-CN"/>
              </w:rPr>
              <w:t>CCA threshold</w:t>
            </w:r>
          </w:p>
        </w:tc>
        <w:tc>
          <w:tcPr>
            <w:tcW w:w="4527" w:type="dxa"/>
            <w:vAlign w:val="center"/>
          </w:tcPr>
          <w:p w:rsidR="00FC1DD4" w:rsidRDefault="00734F2E">
            <w:pPr>
              <w:spacing w:after="0" w:line="260" w:lineRule="auto"/>
              <w:jc w:val="center"/>
              <w:rPr>
                <w:lang w:val="en-US" w:eastAsia="zh-CN"/>
              </w:rPr>
            </w:pPr>
            <w:r>
              <w:rPr>
                <w:lang w:val="en-US" w:eastAsia="zh-CN"/>
              </w:rPr>
              <w:t>-92</w:t>
            </w:r>
            <w:r>
              <w:rPr>
                <w:rFonts w:hint="eastAsia"/>
                <w:lang w:val="en-US" w:eastAsia="zh-CN"/>
              </w:rPr>
              <w:t xml:space="preserve"> </w:t>
            </w:r>
            <w:r>
              <w:rPr>
                <w:lang w:val="en-US" w:eastAsia="zh-CN"/>
              </w:rPr>
              <w:t>dBm</w:t>
            </w:r>
          </w:p>
        </w:tc>
      </w:tr>
      <w:tr w:rsidR="00FC1DD4">
        <w:trPr>
          <w:jc w:val="center"/>
        </w:trPr>
        <w:tc>
          <w:tcPr>
            <w:tcW w:w="3255" w:type="dxa"/>
            <w:vAlign w:val="center"/>
          </w:tcPr>
          <w:p w:rsidR="00FC1DD4" w:rsidRDefault="00734F2E">
            <w:pPr>
              <w:spacing w:after="0" w:line="260" w:lineRule="auto"/>
              <w:jc w:val="center"/>
              <w:rPr>
                <w:lang w:val="en-US"/>
              </w:rPr>
            </w:pPr>
            <w:r>
              <w:rPr>
                <w:lang w:val="en-US"/>
              </w:rPr>
              <w:t>Channel Model</w:t>
            </w:r>
          </w:p>
        </w:tc>
        <w:tc>
          <w:tcPr>
            <w:tcW w:w="4527" w:type="dxa"/>
            <w:vAlign w:val="center"/>
          </w:tcPr>
          <w:p w:rsidR="00FC1DD4" w:rsidRDefault="00734F2E">
            <w:pPr>
              <w:spacing w:after="0" w:line="260" w:lineRule="auto"/>
              <w:jc w:val="center"/>
              <w:rPr>
                <w:lang w:val="en-US"/>
              </w:rPr>
            </w:pPr>
            <w:r>
              <w:rPr>
                <w:lang w:val="en-US"/>
              </w:rPr>
              <w:t>InH Open office model in TR 38.901 Chapter 7.4.1</w:t>
            </w:r>
          </w:p>
        </w:tc>
      </w:tr>
      <w:tr w:rsidR="00FC1DD4">
        <w:trPr>
          <w:jc w:val="center"/>
        </w:trPr>
        <w:tc>
          <w:tcPr>
            <w:tcW w:w="3255" w:type="dxa"/>
            <w:vAlign w:val="center"/>
          </w:tcPr>
          <w:p w:rsidR="00FC1DD4" w:rsidRDefault="00734F2E">
            <w:pPr>
              <w:spacing w:after="0" w:line="260" w:lineRule="auto"/>
              <w:jc w:val="center"/>
              <w:rPr>
                <w:lang w:val="en-US"/>
              </w:rPr>
            </w:pPr>
            <w:r>
              <w:rPr>
                <w:lang w:val="en-US"/>
              </w:rPr>
              <w:t>BS Tx Power</w:t>
            </w:r>
          </w:p>
        </w:tc>
        <w:tc>
          <w:tcPr>
            <w:tcW w:w="4527" w:type="dxa"/>
            <w:vAlign w:val="center"/>
          </w:tcPr>
          <w:p w:rsidR="00FC1DD4" w:rsidRDefault="00734F2E">
            <w:pPr>
              <w:spacing w:after="0" w:line="260" w:lineRule="auto"/>
              <w:jc w:val="center"/>
              <w:rPr>
                <w:lang w:val="en-US" w:eastAsia="zh-CN"/>
              </w:rPr>
            </w:pPr>
            <w:r>
              <w:rPr>
                <w:lang w:val="en-US"/>
              </w:rPr>
              <w:t>14</w:t>
            </w:r>
            <w:r>
              <w:rPr>
                <w:rFonts w:eastAsia="宋体" w:hint="eastAsia"/>
                <w:lang w:val="en-US" w:eastAsia="zh-CN"/>
              </w:rPr>
              <w:t xml:space="preserve"> </w:t>
            </w:r>
            <w:r>
              <w:rPr>
                <w:lang w:val="en-US"/>
              </w:rPr>
              <w:t>dBm</w:t>
            </w:r>
          </w:p>
        </w:tc>
      </w:tr>
      <w:tr w:rsidR="00FC1DD4">
        <w:trPr>
          <w:jc w:val="center"/>
        </w:trPr>
        <w:tc>
          <w:tcPr>
            <w:tcW w:w="3255" w:type="dxa"/>
            <w:vAlign w:val="center"/>
          </w:tcPr>
          <w:p w:rsidR="00FC1DD4" w:rsidRDefault="00734F2E">
            <w:pPr>
              <w:spacing w:after="0" w:line="260" w:lineRule="auto"/>
              <w:jc w:val="center"/>
              <w:rPr>
                <w:lang w:val="en-US"/>
              </w:rPr>
            </w:pPr>
            <w:r>
              <w:rPr>
                <w:lang w:val="en-US"/>
              </w:rPr>
              <w:t>UE Tx Power</w:t>
            </w:r>
          </w:p>
        </w:tc>
        <w:tc>
          <w:tcPr>
            <w:tcW w:w="4527" w:type="dxa"/>
            <w:vAlign w:val="center"/>
          </w:tcPr>
          <w:p w:rsidR="00FC1DD4" w:rsidRDefault="00734F2E">
            <w:pPr>
              <w:spacing w:after="0" w:line="260" w:lineRule="auto"/>
              <w:jc w:val="center"/>
              <w:rPr>
                <w:lang w:val="en-US"/>
              </w:rPr>
            </w:pPr>
            <w:r>
              <w:rPr>
                <w:lang w:val="en-US"/>
              </w:rPr>
              <w:t>21</w:t>
            </w:r>
            <w:r>
              <w:rPr>
                <w:rFonts w:eastAsia="宋体" w:hint="eastAsia"/>
                <w:lang w:val="en-US" w:eastAsia="zh-CN"/>
              </w:rPr>
              <w:t xml:space="preserve"> </w:t>
            </w:r>
            <w:r>
              <w:rPr>
                <w:lang w:val="en-US"/>
              </w:rPr>
              <w:t>dBm</w:t>
            </w:r>
          </w:p>
        </w:tc>
      </w:tr>
      <w:tr w:rsidR="00FC1DD4">
        <w:trPr>
          <w:jc w:val="center"/>
        </w:trPr>
        <w:tc>
          <w:tcPr>
            <w:tcW w:w="3255" w:type="dxa"/>
            <w:vAlign w:val="center"/>
          </w:tcPr>
          <w:p w:rsidR="00FC1DD4" w:rsidRDefault="00734F2E">
            <w:pPr>
              <w:spacing w:after="0" w:line="260" w:lineRule="auto"/>
              <w:jc w:val="center"/>
              <w:rPr>
                <w:lang w:val="en-US"/>
              </w:rPr>
            </w:pPr>
            <w:r>
              <w:rPr>
                <w:lang w:val="en-US"/>
              </w:rPr>
              <w:t>BS Antenna gain</w:t>
            </w:r>
          </w:p>
        </w:tc>
        <w:tc>
          <w:tcPr>
            <w:tcW w:w="4527" w:type="dxa"/>
            <w:vAlign w:val="center"/>
          </w:tcPr>
          <w:p w:rsidR="00FC1DD4" w:rsidRDefault="00734F2E">
            <w:pPr>
              <w:spacing w:after="0" w:line="260" w:lineRule="auto"/>
              <w:jc w:val="center"/>
              <w:rPr>
                <w:lang w:val="en-US" w:eastAsia="zh-CN"/>
              </w:rPr>
            </w:pPr>
            <w:r>
              <w:rPr>
                <w:lang w:val="en-US"/>
              </w:rPr>
              <w:t>5</w:t>
            </w:r>
            <w:r>
              <w:rPr>
                <w:rFonts w:eastAsia="宋体" w:hint="eastAsia"/>
                <w:lang w:val="en-US" w:eastAsia="zh-CN"/>
              </w:rPr>
              <w:t xml:space="preserve"> </w:t>
            </w:r>
            <w:r>
              <w:rPr>
                <w:lang w:val="en-US" w:eastAsia="zh-CN"/>
              </w:rPr>
              <w:t>dBi</w:t>
            </w:r>
          </w:p>
        </w:tc>
      </w:tr>
      <w:tr w:rsidR="00FC1DD4">
        <w:trPr>
          <w:jc w:val="center"/>
        </w:trPr>
        <w:tc>
          <w:tcPr>
            <w:tcW w:w="3255" w:type="dxa"/>
            <w:vAlign w:val="center"/>
          </w:tcPr>
          <w:p w:rsidR="00FC1DD4" w:rsidRDefault="00734F2E">
            <w:pPr>
              <w:spacing w:after="0" w:line="260" w:lineRule="auto"/>
              <w:jc w:val="center"/>
              <w:rPr>
                <w:lang w:val="en-US"/>
              </w:rPr>
            </w:pPr>
            <w:r>
              <w:rPr>
                <w:lang w:val="en-US"/>
              </w:rPr>
              <w:t>UE Antenna gain</w:t>
            </w:r>
          </w:p>
        </w:tc>
        <w:tc>
          <w:tcPr>
            <w:tcW w:w="4527" w:type="dxa"/>
            <w:vAlign w:val="center"/>
          </w:tcPr>
          <w:p w:rsidR="00FC1DD4" w:rsidRDefault="00734F2E">
            <w:pPr>
              <w:spacing w:after="0" w:line="260" w:lineRule="auto"/>
              <w:jc w:val="center"/>
              <w:rPr>
                <w:lang w:val="en-US" w:eastAsia="zh-CN"/>
              </w:rPr>
            </w:pPr>
            <w:r>
              <w:rPr>
                <w:lang w:val="en-US" w:eastAsia="zh-CN"/>
              </w:rPr>
              <w:t>5</w:t>
            </w:r>
            <w:r>
              <w:rPr>
                <w:rFonts w:hint="eastAsia"/>
                <w:lang w:val="en-US" w:eastAsia="zh-CN"/>
              </w:rPr>
              <w:t xml:space="preserve"> </w:t>
            </w:r>
            <w:r>
              <w:rPr>
                <w:lang w:val="en-US" w:eastAsia="zh-CN"/>
              </w:rPr>
              <w:t>dBi</w:t>
            </w:r>
          </w:p>
        </w:tc>
      </w:tr>
      <w:tr w:rsidR="00FC1DD4">
        <w:trPr>
          <w:jc w:val="center"/>
        </w:trPr>
        <w:tc>
          <w:tcPr>
            <w:tcW w:w="3255" w:type="dxa"/>
            <w:vAlign w:val="center"/>
          </w:tcPr>
          <w:p w:rsidR="00FC1DD4" w:rsidRDefault="00734F2E">
            <w:pPr>
              <w:spacing w:after="0" w:line="260" w:lineRule="auto"/>
              <w:jc w:val="center"/>
              <w:rPr>
                <w:lang w:val="en-US"/>
              </w:rPr>
            </w:pPr>
            <w:r>
              <w:rPr>
                <w:lang w:val="en-US"/>
              </w:rPr>
              <w:t>BS Noise Figure</w:t>
            </w:r>
          </w:p>
        </w:tc>
        <w:tc>
          <w:tcPr>
            <w:tcW w:w="4527" w:type="dxa"/>
            <w:vAlign w:val="center"/>
          </w:tcPr>
          <w:p w:rsidR="00FC1DD4" w:rsidRDefault="00734F2E">
            <w:pPr>
              <w:spacing w:after="0" w:line="260" w:lineRule="auto"/>
              <w:jc w:val="center"/>
              <w:rPr>
                <w:lang w:val="en-US" w:eastAsia="zh-CN"/>
              </w:rPr>
            </w:pPr>
            <w:r>
              <w:rPr>
                <w:lang w:val="en-US"/>
              </w:rPr>
              <w:t>7</w:t>
            </w:r>
            <w:r>
              <w:rPr>
                <w:rFonts w:eastAsia="宋体" w:hint="eastAsia"/>
                <w:lang w:val="en-US" w:eastAsia="zh-CN"/>
              </w:rPr>
              <w:t xml:space="preserve"> </w:t>
            </w:r>
            <w:r>
              <w:rPr>
                <w:lang w:val="en-US" w:eastAsia="zh-CN"/>
              </w:rPr>
              <w:t>dB</w:t>
            </w:r>
          </w:p>
        </w:tc>
      </w:tr>
      <w:tr w:rsidR="00FC1DD4">
        <w:trPr>
          <w:jc w:val="center"/>
        </w:trPr>
        <w:tc>
          <w:tcPr>
            <w:tcW w:w="3255" w:type="dxa"/>
            <w:vAlign w:val="center"/>
          </w:tcPr>
          <w:p w:rsidR="00FC1DD4" w:rsidRDefault="00734F2E">
            <w:pPr>
              <w:spacing w:after="0" w:line="260" w:lineRule="auto"/>
              <w:jc w:val="center"/>
              <w:rPr>
                <w:lang w:val="en-US"/>
              </w:rPr>
            </w:pPr>
            <w:r>
              <w:rPr>
                <w:lang w:val="en-US"/>
              </w:rPr>
              <w:t>UE Receiver Noise Figure</w:t>
            </w:r>
          </w:p>
        </w:tc>
        <w:tc>
          <w:tcPr>
            <w:tcW w:w="4527" w:type="dxa"/>
            <w:vAlign w:val="center"/>
          </w:tcPr>
          <w:p w:rsidR="00FC1DD4" w:rsidRDefault="00734F2E">
            <w:pPr>
              <w:spacing w:after="0" w:line="260" w:lineRule="auto"/>
              <w:jc w:val="center"/>
              <w:rPr>
                <w:lang w:val="en-US" w:eastAsia="zh-CN"/>
              </w:rPr>
            </w:pPr>
            <w:r>
              <w:rPr>
                <w:lang w:val="en-US"/>
              </w:rPr>
              <w:t>1</w:t>
            </w:r>
            <w:r>
              <w:rPr>
                <w:lang w:val="en-US" w:eastAsia="zh-CN"/>
              </w:rPr>
              <w:t>0</w:t>
            </w:r>
            <w:r>
              <w:rPr>
                <w:rFonts w:hint="eastAsia"/>
                <w:lang w:val="en-US" w:eastAsia="zh-CN"/>
              </w:rPr>
              <w:t xml:space="preserve"> </w:t>
            </w:r>
            <w:r>
              <w:rPr>
                <w:lang w:val="en-US" w:eastAsia="zh-CN"/>
              </w:rPr>
              <w:t>dB</w:t>
            </w:r>
          </w:p>
        </w:tc>
      </w:tr>
      <w:tr w:rsidR="00FC1DD4">
        <w:trPr>
          <w:jc w:val="center"/>
        </w:trPr>
        <w:tc>
          <w:tcPr>
            <w:tcW w:w="3255" w:type="dxa"/>
            <w:vAlign w:val="center"/>
          </w:tcPr>
          <w:p w:rsidR="00FC1DD4" w:rsidRDefault="00734F2E">
            <w:pPr>
              <w:spacing w:after="0" w:line="260" w:lineRule="auto"/>
              <w:jc w:val="center"/>
              <w:rPr>
                <w:lang w:val="en-US"/>
              </w:rPr>
            </w:pPr>
            <w:r>
              <w:rPr>
                <w:lang w:val="en-US"/>
              </w:rPr>
              <w:t>UE receiver</w:t>
            </w:r>
          </w:p>
        </w:tc>
        <w:tc>
          <w:tcPr>
            <w:tcW w:w="4527" w:type="dxa"/>
            <w:vAlign w:val="center"/>
          </w:tcPr>
          <w:p w:rsidR="00FC1DD4" w:rsidRDefault="00734F2E">
            <w:pPr>
              <w:spacing w:after="0" w:line="260" w:lineRule="auto"/>
              <w:jc w:val="center"/>
              <w:rPr>
                <w:lang w:val="en-US"/>
              </w:rPr>
            </w:pPr>
            <w:r>
              <w:rPr>
                <w:lang w:val="en-US"/>
              </w:rPr>
              <w:t>MMSE-IRC</w:t>
            </w:r>
          </w:p>
        </w:tc>
      </w:tr>
      <w:tr w:rsidR="00FC1DD4">
        <w:trPr>
          <w:jc w:val="center"/>
        </w:trPr>
        <w:tc>
          <w:tcPr>
            <w:tcW w:w="3255" w:type="dxa"/>
            <w:vAlign w:val="center"/>
          </w:tcPr>
          <w:p w:rsidR="00FC1DD4" w:rsidRDefault="00734F2E">
            <w:pPr>
              <w:spacing w:after="0" w:line="260" w:lineRule="auto"/>
              <w:jc w:val="center"/>
              <w:rPr>
                <w:lang w:val="en-US"/>
              </w:rPr>
            </w:pPr>
            <w:r>
              <w:rPr>
                <w:lang w:val="en-US"/>
              </w:rPr>
              <w:lastRenderedPageBreak/>
              <w:t>BS antenna Array configuration</w:t>
            </w:r>
          </w:p>
        </w:tc>
        <w:tc>
          <w:tcPr>
            <w:tcW w:w="4527" w:type="dxa"/>
            <w:vAlign w:val="center"/>
          </w:tcPr>
          <w:p w:rsidR="00FC1DD4" w:rsidRDefault="00734F2E">
            <w:pPr>
              <w:spacing w:after="0" w:line="260" w:lineRule="auto"/>
              <w:jc w:val="center"/>
              <w:rPr>
                <w:lang w:val="en-US"/>
              </w:rPr>
            </w:pPr>
            <w:r>
              <w:rPr>
                <w:lang w:val="en-US"/>
              </w:rPr>
              <w:t>(M, N, P, Mg, Ng) = (8, 16, 2, 1, 1), dH = dV = 0.5 λ</w:t>
            </w:r>
          </w:p>
        </w:tc>
      </w:tr>
      <w:tr w:rsidR="00FC1DD4">
        <w:trPr>
          <w:jc w:val="center"/>
        </w:trPr>
        <w:tc>
          <w:tcPr>
            <w:tcW w:w="3255" w:type="dxa"/>
            <w:vAlign w:val="center"/>
          </w:tcPr>
          <w:p w:rsidR="00FC1DD4" w:rsidRDefault="00734F2E">
            <w:pPr>
              <w:spacing w:after="0" w:line="260" w:lineRule="auto"/>
              <w:jc w:val="center"/>
              <w:rPr>
                <w:lang w:val="en-US"/>
              </w:rPr>
            </w:pPr>
            <w:r>
              <w:rPr>
                <w:lang w:val="en-US"/>
              </w:rPr>
              <w:t>UE antenna Array configuration</w:t>
            </w:r>
          </w:p>
        </w:tc>
        <w:tc>
          <w:tcPr>
            <w:tcW w:w="4527" w:type="dxa"/>
            <w:vAlign w:val="center"/>
          </w:tcPr>
          <w:p w:rsidR="00FC1DD4" w:rsidRDefault="00734F2E">
            <w:pPr>
              <w:spacing w:after="0" w:line="260" w:lineRule="auto"/>
              <w:jc w:val="center"/>
              <w:rPr>
                <w:lang w:val="en-US"/>
              </w:rPr>
            </w:pPr>
            <w:r>
              <w:rPr>
                <w:lang w:val="en-US"/>
              </w:rPr>
              <w:t xml:space="preserve">(M, N, P, Mg, Ng) = (4, </w:t>
            </w:r>
            <w:r>
              <w:rPr>
                <w:lang w:val="en-US" w:eastAsia="zh-CN"/>
              </w:rPr>
              <w:t>8</w:t>
            </w:r>
            <w:r>
              <w:rPr>
                <w:lang w:val="en-US"/>
              </w:rPr>
              <w:t>, 2, 1, 1), dH = dV = 0.5 λ</w:t>
            </w:r>
          </w:p>
        </w:tc>
      </w:tr>
      <w:tr w:rsidR="00FC1DD4">
        <w:trPr>
          <w:jc w:val="center"/>
        </w:trPr>
        <w:tc>
          <w:tcPr>
            <w:tcW w:w="3255" w:type="dxa"/>
            <w:vAlign w:val="center"/>
          </w:tcPr>
          <w:p w:rsidR="00FC1DD4" w:rsidRDefault="00734F2E">
            <w:pPr>
              <w:spacing w:after="0" w:line="260" w:lineRule="auto"/>
              <w:jc w:val="center"/>
              <w:rPr>
                <w:lang w:val="en-US" w:eastAsia="zh-CN"/>
              </w:rPr>
            </w:pPr>
            <w:r>
              <w:rPr>
                <w:lang w:val="en-US" w:eastAsia="zh-CN"/>
              </w:rPr>
              <w:t>Traffic model</w:t>
            </w:r>
          </w:p>
        </w:tc>
        <w:tc>
          <w:tcPr>
            <w:tcW w:w="4527" w:type="dxa"/>
            <w:vAlign w:val="center"/>
          </w:tcPr>
          <w:p w:rsidR="00FC1DD4" w:rsidRDefault="00734F2E">
            <w:pPr>
              <w:spacing w:after="0" w:line="260" w:lineRule="auto"/>
              <w:jc w:val="center"/>
              <w:rPr>
                <w:lang w:val="en-US"/>
              </w:rPr>
            </w:pPr>
            <w:r>
              <w:rPr>
                <w:lang w:val="en-US" w:eastAsia="zh-CN"/>
              </w:rPr>
              <w:t>FTP Model 3 (27Mbyte file)</w:t>
            </w:r>
          </w:p>
        </w:tc>
      </w:tr>
    </w:tbl>
    <w:p w:rsidR="00FC1DD4" w:rsidRDefault="00FC1DD4">
      <w:pPr>
        <w:rPr>
          <w:lang w:val="en-US" w:eastAsia="zh-CN"/>
        </w:rPr>
      </w:pPr>
    </w:p>
    <w:sectPr w:rsidR="00FC1DD4">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8B7" w:rsidRDefault="00F958B7">
      <w:pPr>
        <w:spacing w:after="0" w:line="240" w:lineRule="auto"/>
      </w:pPr>
      <w:r>
        <w:separator/>
      </w:r>
    </w:p>
  </w:endnote>
  <w:endnote w:type="continuationSeparator" w:id="0">
    <w:p w:rsidR="00F958B7" w:rsidRDefault="00F95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等线">
    <w:altName w:val="微软雅黑"/>
    <w:charset w:val="86"/>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Light">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DD4" w:rsidRDefault="00734F2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FC1DD4" w:rsidRDefault="00FC1D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DD4" w:rsidRDefault="00734F2E">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3846BC">
      <w:rPr>
        <w:rStyle w:val="PageNumber"/>
        <w:rFonts w:ascii="Times New Roman" w:hAnsi="Times New Roman"/>
        <w:b w:val="0"/>
        <w:i w:val="0"/>
        <w:noProof/>
      </w:rPr>
      <w:t>6</w:t>
    </w:r>
    <w:r>
      <w:rPr>
        <w:rFonts w:ascii="Times New Roman" w:hAnsi="Times New Roman"/>
        <w:b w:val="0"/>
        <w:i w:val="0"/>
      </w:rPr>
      <w:fldChar w:fldCharType="end"/>
    </w:r>
  </w:p>
  <w:p w:rsidR="00FC1DD4" w:rsidRDefault="00FC1D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8B7" w:rsidRDefault="00F958B7">
      <w:pPr>
        <w:spacing w:after="0" w:line="240" w:lineRule="auto"/>
      </w:pPr>
      <w:r>
        <w:separator/>
      </w:r>
    </w:p>
  </w:footnote>
  <w:footnote w:type="continuationSeparator" w:id="0">
    <w:p w:rsidR="00F958B7" w:rsidRDefault="00F958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5DD12EF"/>
    <w:multiLevelType w:val="hybridMultilevel"/>
    <w:tmpl w:val="2ADA7B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21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876B958"/>
    <w:multiLevelType w:val="singleLevel"/>
    <w:tmpl w:val="1876B958"/>
    <w:lvl w:ilvl="0">
      <w:start w:val="1"/>
      <w:numFmt w:val="bullet"/>
      <w:lvlText w:val=""/>
      <w:lvlJc w:val="left"/>
      <w:pPr>
        <w:ind w:left="420" w:hanging="42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1"/>
  </w:num>
  <w:num w:numId="4">
    <w:abstractNumId w:val="13"/>
  </w:num>
  <w:num w:numId="5">
    <w:abstractNumId w:val="5"/>
  </w:num>
  <w:num w:numId="6">
    <w:abstractNumId w:val="10"/>
  </w:num>
  <w:num w:numId="7">
    <w:abstractNumId w:val="7"/>
  </w:num>
  <w:num w:numId="8">
    <w:abstractNumId w:val="1"/>
  </w:num>
  <w:num w:numId="9">
    <w:abstractNumId w:val="12"/>
  </w:num>
  <w:num w:numId="10">
    <w:abstractNumId w:val="9"/>
  </w:num>
  <w:num w:numId="11">
    <w:abstractNumId w:val="6"/>
  </w:num>
  <w:num w:numId="12">
    <w:abstractNumId w:val="4"/>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734B4"/>
    <w:rsid w:val="01100347"/>
    <w:rsid w:val="01120C0E"/>
    <w:rsid w:val="01181D5F"/>
    <w:rsid w:val="01215A1B"/>
    <w:rsid w:val="01226A27"/>
    <w:rsid w:val="01275A84"/>
    <w:rsid w:val="01340DD8"/>
    <w:rsid w:val="01404759"/>
    <w:rsid w:val="014538E3"/>
    <w:rsid w:val="014C3BF9"/>
    <w:rsid w:val="0151177E"/>
    <w:rsid w:val="015C3B59"/>
    <w:rsid w:val="015C568F"/>
    <w:rsid w:val="0162338A"/>
    <w:rsid w:val="01627245"/>
    <w:rsid w:val="016D6CE9"/>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27E37"/>
    <w:rsid w:val="01BA5F39"/>
    <w:rsid w:val="01C326DA"/>
    <w:rsid w:val="01CD6175"/>
    <w:rsid w:val="01CF6472"/>
    <w:rsid w:val="01D2660E"/>
    <w:rsid w:val="01D7237F"/>
    <w:rsid w:val="01E90EAA"/>
    <w:rsid w:val="01E9562A"/>
    <w:rsid w:val="01F0730D"/>
    <w:rsid w:val="01F228B3"/>
    <w:rsid w:val="01F24BE3"/>
    <w:rsid w:val="01F37778"/>
    <w:rsid w:val="01FC6829"/>
    <w:rsid w:val="02052204"/>
    <w:rsid w:val="0218641B"/>
    <w:rsid w:val="023D68E9"/>
    <w:rsid w:val="023F5E1A"/>
    <w:rsid w:val="024D11F3"/>
    <w:rsid w:val="0252421C"/>
    <w:rsid w:val="025B6E07"/>
    <w:rsid w:val="02622CBC"/>
    <w:rsid w:val="027A1CC7"/>
    <w:rsid w:val="02821AE1"/>
    <w:rsid w:val="0282269B"/>
    <w:rsid w:val="02837FA5"/>
    <w:rsid w:val="028438E6"/>
    <w:rsid w:val="028F7F84"/>
    <w:rsid w:val="02922E5A"/>
    <w:rsid w:val="029415F5"/>
    <w:rsid w:val="02A078F6"/>
    <w:rsid w:val="02A738FD"/>
    <w:rsid w:val="02AC3B9C"/>
    <w:rsid w:val="02BC1004"/>
    <w:rsid w:val="02BE0B78"/>
    <w:rsid w:val="02C20A5F"/>
    <w:rsid w:val="02D8254A"/>
    <w:rsid w:val="02F15F40"/>
    <w:rsid w:val="030C5E59"/>
    <w:rsid w:val="031041CB"/>
    <w:rsid w:val="03127134"/>
    <w:rsid w:val="03131BEB"/>
    <w:rsid w:val="03180265"/>
    <w:rsid w:val="031923E9"/>
    <w:rsid w:val="03244425"/>
    <w:rsid w:val="03335414"/>
    <w:rsid w:val="03380EE2"/>
    <w:rsid w:val="034800C3"/>
    <w:rsid w:val="0354194A"/>
    <w:rsid w:val="03763069"/>
    <w:rsid w:val="037D0817"/>
    <w:rsid w:val="03867098"/>
    <w:rsid w:val="03876C33"/>
    <w:rsid w:val="03901647"/>
    <w:rsid w:val="03A0019E"/>
    <w:rsid w:val="03A80B76"/>
    <w:rsid w:val="03AC7855"/>
    <w:rsid w:val="03B005F4"/>
    <w:rsid w:val="03B76952"/>
    <w:rsid w:val="03CD0124"/>
    <w:rsid w:val="03CF2B82"/>
    <w:rsid w:val="03E0522E"/>
    <w:rsid w:val="03F65997"/>
    <w:rsid w:val="03F719F0"/>
    <w:rsid w:val="03FA68A6"/>
    <w:rsid w:val="03FD5E07"/>
    <w:rsid w:val="04066AB8"/>
    <w:rsid w:val="040D33BF"/>
    <w:rsid w:val="040F1FD0"/>
    <w:rsid w:val="041162ED"/>
    <w:rsid w:val="041562A8"/>
    <w:rsid w:val="041A6AB4"/>
    <w:rsid w:val="041D3FE2"/>
    <w:rsid w:val="041E7CAF"/>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2519D"/>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804E7"/>
    <w:rsid w:val="05B92FBE"/>
    <w:rsid w:val="05BC14EA"/>
    <w:rsid w:val="05D94EBE"/>
    <w:rsid w:val="05DE4683"/>
    <w:rsid w:val="05DF0DA0"/>
    <w:rsid w:val="05DF3F1B"/>
    <w:rsid w:val="05E95F0A"/>
    <w:rsid w:val="05EA4E24"/>
    <w:rsid w:val="05ED35B8"/>
    <w:rsid w:val="05F074A4"/>
    <w:rsid w:val="05F12585"/>
    <w:rsid w:val="05FB2CD3"/>
    <w:rsid w:val="0606721F"/>
    <w:rsid w:val="060D5AA5"/>
    <w:rsid w:val="061A06CE"/>
    <w:rsid w:val="06242D8C"/>
    <w:rsid w:val="062558E0"/>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E8278C"/>
    <w:rsid w:val="06F76AE6"/>
    <w:rsid w:val="07015EFA"/>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C04F2"/>
    <w:rsid w:val="076F476D"/>
    <w:rsid w:val="07826DCD"/>
    <w:rsid w:val="07871DCC"/>
    <w:rsid w:val="078B07F9"/>
    <w:rsid w:val="078E4F4B"/>
    <w:rsid w:val="07944B29"/>
    <w:rsid w:val="079F3045"/>
    <w:rsid w:val="07AC7E7C"/>
    <w:rsid w:val="07B34910"/>
    <w:rsid w:val="07BB7897"/>
    <w:rsid w:val="07C76AEB"/>
    <w:rsid w:val="07CE47C1"/>
    <w:rsid w:val="07D62B24"/>
    <w:rsid w:val="07EA26C1"/>
    <w:rsid w:val="08004C09"/>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AE795A"/>
    <w:rsid w:val="08B20EA3"/>
    <w:rsid w:val="08B574EC"/>
    <w:rsid w:val="08B57F92"/>
    <w:rsid w:val="08C26721"/>
    <w:rsid w:val="08C447CA"/>
    <w:rsid w:val="08CE2E9E"/>
    <w:rsid w:val="08E279FE"/>
    <w:rsid w:val="08E539A8"/>
    <w:rsid w:val="08E64959"/>
    <w:rsid w:val="08FF3E43"/>
    <w:rsid w:val="090F4677"/>
    <w:rsid w:val="0910120A"/>
    <w:rsid w:val="09134CB1"/>
    <w:rsid w:val="09275714"/>
    <w:rsid w:val="092F78BB"/>
    <w:rsid w:val="093120ED"/>
    <w:rsid w:val="094077F0"/>
    <w:rsid w:val="09552E33"/>
    <w:rsid w:val="09566CA4"/>
    <w:rsid w:val="095C0D34"/>
    <w:rsid w:val="09600D2E"/>
    <w:rsid w:val="09736BC3"/>
    <w:rsid w:val="0974223C"/>
    <w:rsid w:val="0974287E"/>
    <w:rsid w:val="09832AAA"/>
    <w:rsid w:val="09876497"/>
    <w:rsid w:val="098B7640"/>
    <w:rsid w:val="098F1481"/>
    <w:rsid w:val="09904C1A"/>
    <w:rsid w:val="099C0E26"/>
    <w:rsid w:val="099F5C87"/>
    <w:rsid w:val="09A41AFC"/>
    <w:rsid w:val="09A918FF"/>
    <w:rsid w:val="09AB4269"/>
    <w:rsid w:val="09AF29E2"/>
    <w:rsid w:val="09B17961"/>
    <w:rsid w:val="09C762CC"/>
    <w:rsid w:val="09DF01A9"/>
    <w:rsid w:val="09DF4DE6"/>
    <w:rsid w:val="09F3224C"/>
    <w:rsid w:val="09F5356A"/>
    <w:rsid w:val="09F756A5"/>
    <w:rsid w:val="09FB5032"/>
    <w:rsid w:val="0A007FB9"/>
    <w:rsid w:val="0A0248E2"/>
    <w:rsid w:val="0A197D7E"/>
    <w:rsid w:val="0A1A5B76"/>
    <w:rsid w:val="0A260017"/>
    <w:rsid w:val="0A350A2E"/>
    <w:rsid w:val="0A44449B"/>
    <w:rsid w:val="0A4970AB"/>
    <w:rsid w:val="0A613380"/>
    <w:rsid w:val="0A68565C"/>
    <w:rsid w:val="0A71326B"/>
    <w:rsid w:val="0A7269CD"/>
    <w:rsid w:val="0A750E8A"/>
    <w:rsid w:val="0A7C07DD"/>
    <w:rsid w:val="0A7C4051"/>
    <w:rsid w:val="0A7D67BF"/>
    <w:rsid w:val="0A7F54FD"/>
    <w:rsid w:val="0A860C80"/>
    <w:rsid w:val="0A8D2821"/>
    <w:rsid w:val="0AAC726A"/>
    <w:rsid w:val="0ABB44F9"/>
    <w:rsid w:val="0AC139E2"/>
    <w:rsid w:val="0AC65B07"/>
    <w:rsid w:val="0AC716D4"/>
    <w:rsid w:val="0AC737A4"/>
    <w:rsid w:val="0ADD1875"/>
    <w:rsid w:val="0ADD2D69"/>
    <w:rsid w:val="0ADF132F"/>
    <w:rsid w:val="0AE21A7A"/>
    <w:rsid w:val="0AE72DC5"/>
    <w:rsid w:val="0AEA5FE2"/>
    <w:rsid w:val="0AF456BE"/>
    <w:rsid w:val="0AFF24CE"/>
    <w:rsid w:val="0B1543BB"/>
    <w:rsid w:val="0B155EC3"/>
    <w:rsid w:val="0B215E24"/>
    <w:rsid w:val="0B257548"/>
    <w:rsid w:val="0B2920B8"/>
    <w:rsid w:val="0B420FE1"/>
    <w:rsid w:val="0B4C3E35"/>
    <w:rsid w:val="0B4C64FA"/>
    <w:rsid w:val="0B4E0560"/>
    <w:rsid w:val="0B5431C9"/>
    <w:rsid w:val="0B577EF7"/>
    <w:rsid w:val="0B5C20A7"/>
    <w:rsid w:val="0B5C58E0"/>
    <w:rsid w:val="0B6426D9"/>
    <w:rsid w:val="0B66128E"/>
    <w:rsid w:val="0B68584B"/>
    <w:rsid w:val="0B6913F3"/>
    <w:rsid w:val="0B6C3AAF"/>
    <w:rsid w:val="0B7C2A1B"/>
    <w:rsid w:val="0B7C3C97"/>
    <w:rsid w:val="0B851AE2"/>
    <w:rsid w:val="0B8676A2"/>
    <w:rsid w:val="0B954FA0"/>
    <w:rsid w:val="0B995225"/>
    <w:rsid w:val="0BA077C8"/>
    <w:rsid w:val="0BB55819"/>
    <w:rsid w:val="0BC43EFA"/>
    <w:rsid w:val="0BDB773F"/>
    <w:rsid w:val="0BDC0F5C"/>
    <w:rsid w:val="0BE54882"/>
    <w:rsid w:val="0BE64F43"/>
    <w:rsid w:val="0BE9464C"/>
    <w:rsid w:val="0BF17147"/>
    <w:rsid w:val="0BF22E42"/>
    <w:rsid w:val="0BF61FC1"/>
    <w:rsid w:val="0C0016BA"/>
    <w:rsid w:val="0C0416AE"/>
    <w:rsid w:val="0C090EA4"/>
    <w:rsid w:val="0C0C05C8"/>
    <w:rsid w:val="0C0E3321"/>
    <w:rsid w:val="0C0F7E19"/>
    <w:rsid w:val="0C1C3753"/>
    <w:rsid w:val="0C1D44CD"/>
    <w:rsid w:val="0C2529EC"/>
    <w:rsid w:val="0C30263B"/>
    <w:rsid w:val="0C3A46A5"/>
    <w:rsid w:val="0C3E4347"/>
    <w:rsid w:val="0C473253"/>
    <w:rsid w:val="0C4F022E"/>
    <w:rsid w:val="0C5170A3"/>
    <w:rsid w:val="0C630475"/>
    <w:rsid w:val="0C676B51"/>
    <w:rsid w:val="0C6D1617"/>
    <w:rsid w:val="0C753611"/>
    <w:rsid w:val="0C77216D"/>
    <w:rsid w:val="0C7E28D9"/>
    <w:rsid w:val="0C8328A9"/>
    <w:rsid w:val="0C8F5033"/>
    <w:rsid w:val="0C923DBE"/>
    <w:rsid w:val="0C92626A"/>
    <w:rsid w:val="0C992FB8"/>
    <w:rsid w:val="0CA06B2F"/>
    <w:rsid w:val="0CA5215C"/>
    <w:rsid w:val="0CAA56ED"/>
    <w:rsid w:val="0CAC621A"/>
    <w:rsid w:val="0CB1691B"/>
    <w:rsid w:val="0CB23D75"/>
    <w:rsid w:val="0CB527B1"/>
    <w:rsid w:val="0CB52D59"/>
    <w:rsid w:val="0CCF6077"/>
    <w:rsid w:val="0CE01ED0"/>
    <w:rsid w:val="0CE057A4"/>
    <w:rsid w:val="0CE47277"/>
    <w:rsid w:val="0CEA4514"/>
    <w:rsid w:val="0CED5790"/>
    <w:rsid w:val="0CF825CB"/>
    <w:rsid w:val="0D02400E"/>
    <w:rsid w:val="0D0C6566"/>
    <w:rsid w:val="0D120265"/>
    <w:rsid w:val="0D1536F1"/>
    <w:rsid w:val="0D1E5FB2"/>
    <w:rsid w:val="0D204BC7"/>
    <w:rsid w:val="0D232014"/>
    <w:rsid w:val="0D2532E0"/>
    <w:rsid w:val="0D276A0D"/>
    <w:rsid w:val="0D2B3E5D"/>
    <w:rsid w:val="0D35359F"/>
    <w:rsid w:val="0D480593"/>
    <w:rsid w:val="0D4C56D2"/>
    <w:rsid w:val="0D547E1E"/>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1E7893"/>
    <w:rsid w:val="0E2735BC"/>
    <w:rsid w:val="0E2E1E85"/>
    <w:rsid w:val="0E3640EF"/>
    <w:rsid w:val="0E3B77C9"/>
    <w:rsid w:val="0E4D45EC"/>
    <w:rsid w:val="0E4F1CE0"/>
    <w:rsid w:val="0E4F5252"/>
    <w:rsid w:val="0E572C3E"/>
    <w:rsid w:val="0E5F0CBF"/>
    <w:rsid w:val="0E8271E6"/>
    <w:rsid w:val="0E887123"/>
    <w:rsid w:val="0E8B4D0B"/>
    <w:rsid w:val="0EA621BE"/>
    <w:rsid w:val="0EAB594D"/>
    <w:rsid w:val="0EBD6AC8"/>
    <w:rsid w:val="0EC854C4"/>
    <w:rsid w:val="0ECC4D2D"/>
    <w:rsid w:val="0ED27F80"/>
    <w:rsid w:val="0ED95C8A"/>
    <w:rsid w:val="0EE36211"/>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80767"/>
    <w:rsid w:val="0FB97767"/>
    <w:rsid w:val="0FBF3418"/>
    <w:rsid w:val="0FC46A56"/>
    <w:rsid w:val="0FC51919"/>
    <w:rsid w:val="0FC57BB8"/>
    <w:rsid w:val="0FD6188A"/>
    <w:rsid w:val="0FE06793"/>
    <w:rsid w:val="0FEC5D00"/>
    <w:rsid w:val="0FF575F8"/>
    <w:rsid w:val="0FF65FDC"/>
    <w:rsid w:val="10000831"/>
    <w:rsid w:val="100579D5"/>
    <w:rsid w:val="10063E75"/>
    <w:rsid w:val="100C7211"/>
    <w:rsid w:val="100E163A"/>
    <w:rsid w:val="10137919"/>
    <w:rsid w:val="10197368"/>
    <w:rsid w:val="101F242C"/>
    <w:rsid w:val="1026756C"/>
    <w:rsid w:val="104E4B56"/>
    <w:rsid w:val="10532774"/>
    <w:rsid w:val="1054045C"/>
    <w:rsid w:val="10567C68"/>
    <w:rsid w:val="105A58C1"/>
    <w:rsid w:val="10706296"/>
    <w:rsid w:val="10797EF4"/>
    <w:rsid w:val="107D3C0E"/>
    <w:rsid w:val="1083031A"/>
    <w:rsid w:val="108778E8"/>
    <w:rsid w:val="10941E11"/>
    <w:rsid w:val="109821F7"/>
    <w:rsid w:val="10A15189"/>
    <w:rsid w:val="10A76A92"/>
    <w:rsid w:val="10AF75A3"/>
    <w:rsid w:val="10B47A73"/>
    <w:rsid w:val="10B81757"/>
    <w:rsid w:val="10BF2E44"/>
    <w:rsid w:val="10D00203"/>
    <w:rsid w:val="10D32F67"/>
    <w:rsid w:val="10D54519"/>
    <w:rsid w:val="10DC0B31"/>
    <w:rsid w:val="10E6700D"/>
    <w:rsid w:val="10ED7F30"/>
    <w:rsid w:val="10F87453"/>
    <w:rsid w:val="10FA2820"/>
    <w:rsid w:val="10FF23D1"/>
    <w:rsid w:val="10FF2F5F"/>
    <w:rsid w:val="11040356"/>
    <w:rsid w:val="11083C1F"/>
    <w:rsid w:val="11163D3E"/>
    <w:rsid w:val="11221C8A"/>
    <w:rsid w:val="11272C1C"/>
    <w:rsid w:val="112F01F3"/>
    <w:rsid w:val="11362E5F"/>
    <w:rsid w:val="11386EDC"/>
    <w:rsid w:val="113F6847"/>
    <w:rsid w:val="11477748"/>
    <w:rsid w:val="11573160"/>
    <w:rsid w:val="116327EE"/>
    <w:rsid w:val="116739ED"/>
    <w:rsid w:val="116B3040"/>
    <w:rsid w:val="119734D3"/>
    <w:rsid w:val="119A1E99"/>
    <w:rsid w:val="11A3386B"/>
    <w:rsid w:val="11AF7FCE"/>
    <w:rsid w:val="11BB4CD7"/>
    <w:rsid w:val="11C23717"/>
    <w:rsid w:val="11C43249"/>
    <w:rsid w:val="11C60A1A"/>
    <w:rsid w:val="11DA3226"/>
    <w:rsid w:val="11DA5C4D"/>
    <w:rsid w:val="11DA7C8F"/>
    <w:rsid w:val="11DD2374"/>
    <w:rsid w:val="11E21C10"/>
    <w:rsid w:val="11E84264"/>
    <w:rsid w:val="11EA5AEE"/>
    <w:rsid w:val="11EC3740"/>
    <w:rsid w:val="11EC6DCB"/>
    <w:rsid w:val="12047298"/>
    <w:rsid w:val="121220D8"/>
    <w:rsid w:val="1215211F"/>
    <w:rsid w:val="12172F68"/>
    <w:rsid w:val="121B6C13"/>
    <w:rsid w:val="12203257"/>
    <w:rsid w:val="122320E5"/>
    <w:rsid w:val="122A48EB"/>
    <w:rsid w:val="12337389"/>
    <w:rsid w:val="12371DF9"/>
    <w:rsid w:val="124D1B03"/>
    <w:rsid w:val="12504C31"/>
    <w:rsid w:val="12516E7E"/>
    <w:rsid w:val="12532386"/>
    <w:rsid w:val="125B1B6E"/>
    <w:rsid w:val="1265749A"/>
    <w:rsid w:val="1267663B"/>
    <w:rsid w:val="1277751E"/>
    <w:rsid w:val="12926FCB"/>
    <w:rsid w:val="12982522"/>
    <w:rsid w:val="12B11086"/>
    <w:rsid w:val="12B17DCA"/>
    <w:rsid w:val="12B43182"/>
    <w:rsid w:val="12B46A84"/>
    <w:rsid w:val="12BA0258"/>
    <w:rsid w:val="12C17EF2"/>
    <w:rsid w:val="12C625B4"/>
    <w:rsid w:val="12CF0C55"/>
    <w:rsid w:val="12D21625"/>
    <w:rsid w:val="12D35644"/>
    <w:rsid w:val="12E34078"/>
    <w:rsid w:val="12EF5516"/>
    <w:rsid w:val="12F43338"/>
    <w:rsid w:val="12FE32F7"/>
    <w:rsid w:val="13002861"/>
    <w:rsid w:val="13105018"/>
    <w:rsid w:val="131C5CF6"/>
    <w:rsid w:val="13227EB1"/>
    <w:rsid w:val="132707AB"/>
    <w:rsid w:val="13400045"/>
    <w:rsid w:val="1355648A"/>
    <w:rsid w:val="136F49A1"/>
    <w:rsid w:val="13783516"/>
    <w:rsid w:val="137C2658"/>
    <w:rsid w:val="137E142A"/>
    <w:rsid w:val="13820206"/>
    <w:rsid w:val="13824BD3"/>
    <w:rsid w:val="138609D7"/>
    <w:rsid w:val="138A039A"/>
    <w:rsid w:val="13905376"/>
    <w:rsid w:val="139532E4"/>
    <w:rsid w:val="13A30FC3"/>
    <w:rsid w:val="13A31406"/>
    <w:rsid w:val="13A90461"/>
    <w:rsid w:val="13BF1D88"/>
    <w:rsid w:val="13DE3682"/>
    <w:rsid w:val="13EB3632"/>
    <w:rsid w:val="13ED26CD"/>
    <w:rsid w:val="14102B55"/>
    <w:rsid w:val="14197D9F"/>
    <w:rsid w:val="14237882"/>
    <w:rsid w:val="143E1552"/>
    <w:rsid w:val="143F6AFF"/>
    <w:rsid w:val="143F6E42"/>
    <w:rsid w:val="146B0173"/>
    <w:rsid w:val="146E1173"/>
    <w:rsid w:val="14786AC1"/>
    <w:rsid w:val="14870828"/>
    <w:rsid w:val="14920E25"/>
    <w:rsid w:val="1498573C"/>
    <w:rsid w:val="14991CB0"/>
    <w:rsid w:val="14A1759C"/>
    <w:rsid w:val="14B204D7"/>
    <w:rsid w:val="14B75A7E"/>
    <w:rsid w:val="14C155EF"/>
    <w:rsid w:val="14C82B34"/>
    <w:rsid w:val="14D8251F"/>
    <w:rsid w:val="14E04496"/>
    <w:rsid w:val="14EA76A8"/>
    <w:rsid w:val="14EB34AC"/>
    <w:rsid w:val="14EB6105"/>
    <w:rsid w:val="14F2308B"/>
    <w:rsid w:val="14FD6BC6"/>
    <w:rsid w:val="15064D14"/>
    <w:rsid w:val="151B42D6"/>
    <w:rsid w:val="153C511F"/>
    <w:rsid w:val="15404987"/>
    <w:rsid w:val="154D51FF"/>
    <w:rsid w:val="1555109B"/>
    <w:rsid w:val="155D5DFA"/>
    <w:rsid w:val="155F58CA"/>
    <w:rsid w:val="1560619C"/>
    <w:rsid w:val="15655D54"/>
    <w:rsid w:val="156B69AA"/>
    <w:rsid w:val="15700B17"/>
    <w:rsid w:val="1584685F"/>
    <w:rsid w:val="158472D3"/>
    <w:rsid w:val="158570C9"/>
    <w:rsid w:val="1592090C"/>
    <w:rsid w:val="159B4CCA"/>
    <w:rsid w:val="159D5808"/>
    <w:rsid w:val="15A46E63"/>
    <w:rsid w:val="15A52865"/>
    <w:rsid w:val="15AB3CC0"/>
    <w:rsid w:val="15B4460C"/>
    <w:rsid w:val="15C562E2"/>
    <w:rsid w:val="15D03364"/>
    <w:rsid w:val="15D22CDD"/>
    <w:rsid w:val="15DC62AF"/>
    <w:rsid w:val="15DF61C4"/>
    <w:rsid w:val="15F11A48"/>
    <w:rsid w:val="15F62CC1"/>
    <w:rsid w:val="15F725BC"/>
    <w:rsid w:val="15FA7C65"/>
    <w:rsid w:val="15FE3A77"/>
    <w:rsid w:val="16060241"/>
    <w:rsid w:val="16081ED8"/>
    <w:rsid w:val="16095AFF"/>
    <w:rsid w:val="160A5000"/>
    <w:rsid w:val="160D102D"/>
    <w:rsid w:val="161E428D"/>
    <w:rsid w:val="16270C37"/>
    <w:rsid w:val="162B3FD9"/>
    <w:rsid w:val="162F0602"/>
    <w:rsid w:val="163539B0"/>
    <w:rsid w:val="163A4FD7"/>
    <w:rsid w:val="16494878"/>
    <w:rsid w:val="165243D6"/>
    <w:rsid w:val="1654399A"/>
    <w:rsid w:val="166415C4"/>
    <w:rsid w:val="1670292F"/>
    <w:rsid w:val="16876F47"/>
    <w:rsid w:val="16893317"/>
    <w:rsid w:val="169979F2"/>
    <w:rsid w:val="16A8222F"/>
    <w:rsid w:val="16B70F95"/>
    <w:rsid w:val="16DE10C7"/>
    <w:rsid w:val="16E353AF"/>
    <w:rsid w:val="16EE785C"/>
    <w:rsid w:val="16F164D7"/>
    <w:rsid w:val="17005BF2"/>
    <w:rsid w:val="17150DAB"/>
    <w:rsid w:val="172A6B63"/>
    <w:rsid w:val="17313BED"/>
    <w:rsid w:val="1734468E"/>
    <w:rsid w:val="17347D87"/>
    <w:rsid w:val="17480164"/>
    <w:rsid w:val="174B5EF9"/>
    <w:rsid w:val="174E4C34"/>
    <w:rsid w:val="175079B9"/>
    <w:rsid w:val="17540D91"/>
    <w:rsid w:val="17543A7F"/>
    <w:rsid w:val="1758341D"/>
    <w:rsid w:val="176075D3"/>
    <w:rsid w:val="176209E7"/>
    <w:rsid w:val="17642852"/>
    <w:rsid w:val="1768007F"/>
    <w:rsid w:val="17837B78"/>
    <w:rsid w:val="17907A85"/>
    <w:rsid w:val="17913205"/>
    <w:rsid w:val="1798692F"/>
    <w:rsid w:val="17A6334D"/>
    <w:rsid w:val="17AD1CCF"/>
    <w:rsid w:val="17AE317B"/>
    <w:rsid w:val="17B85BBA"/>
    <w:rsid w:val="17BE2A6F"/>
    <w:rsid w:val="17CD6181"/>
    <w:rsid w:val="17D62790"/>
    <w:rsid w:val="17DE412F"/>
    <w:rsid w:val="17DE72B7"/>
    <w:rsid w:val="17DF4E37"/>
    <w:rsid w:val="17E20D1C"/>
    <w:rsid w:val="17E84BB6"/>
    <w:rsid w:val="17F70F34"/>
    <w:rsid w:val="18321DF7"/>
    <w:rsid w:val="18335300"/>
    <w:rsid w:val="183C6D8F"/>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3F457D"/>
    <w:rsid w:val="194150B0"/>
    <w:rsid w:val="19464D34"/>
    <w:rsid w:val="195B2644"/>
    <w:rsid w:val="197536BB"/>
    <w:rsid w:val="197D167D"/>
    <w:rsid w:val="19806D56"/>
    <w:rsid w:val="19864661"/>
    <w:rsid w:val="198957E0"/>
    <w:rsid w:val="198B37AE"/>
    <w:rsid w:val="19AB3A38"/>
    <w:rsid w:val="19B128A4"/>
    <w:rsid w:val="19B50A5E"/>
    <w:rsid w:val="19BD1CFE"/>
    <w:rsid w:val="19C54A70"/>
    <w:rsid w:val="19C945DE"/>
    <w:rsid w:val="19CA23B9"/>
    <w:rsid w:val="19D74F04"/>
    <w:rsid w:val="19DC58FA"/>
    <w:rsid w:val="19F35A27"/>
    <w:rsid w:val="19F56342"/>
    <w:rsid w:val="1A055C38"/>
    <w:rsid w:val="1A087D0E"/>
    <w:rsid w:val="1A0E07A1"/>
    <w:rsid w:val="1A2B7286"/>
    <w:rsid w:val="1A2E6712"/>
    <w:rsid w:val="1A315DD1"/>
    <w:rsid w:val="1A3501CD"/>
    <w:rsid w:val="1A3A4F94"/>
    <w:rsid w:val="1A490559"/>
    <w:rsid w:val="1A5363F7"/>
    <w:rsid w:val="1A65142D"/>
    <w:rsid w:val="1A6B3616"/>
    <w:rsid w:val="1A872A12"/>
    <w:rsid w:val="1A873374"/>
    <w:rsid w:val="1A88343C"/>
    <w:rsid w:val="1A8D28D6"/>
    <w:rsid w:val="1A8E00E9"/>
    <w:rsid w:val="1A9226AE"/>
    <w:rsid w:val="1A930DD5"/>
    <w:rsid w:val="1AC176FB"/>
    <w:rsid w:val="1AC532C3"/>
    <w:rsid w:val="1AC837C1"/>
    <w:rsid w:val="1AD03F0F"/>
    <w:rsid w:val="1AE82E43"/>
    <w:rsid w:val="1AE8581D"/>
    <w:rsid w:val="1AFC1C91"/>
    <w:rsid w:val="1B074DA9"/>
    <w:rsid w:val="1B095903"/>
    <w:rsid w:val="1B0C26CA"/>
    <w:rsid w:val="1B135D29"/>
    <w:rsid w:val="1B1E2E13"/>
    <w:rsid w:val="1B303882"/>
    <w:rsid w:val="1B351EE8"/>
    <w:rsid w:val="1B3B734E"/>
    <w:rsid w:val="1B47751A"/>
    <w:rsid w:val="1B4D3741"/>
    <w:rsid w:val="1B53737A"/>
    <w:rsid w:val="1B551190"/>
    <w:rsid w:val="1B55577C"/>
    <w:rsid w:val="1B8158FF"/>
    <w:rsid w:val="1B82787B"/>
    <w:rsid w:val="1B8357F2"/>
    <w:rsid w:val="1B894426"/>
    <w:rsid w:val="1B8D4B2E"/>
    <w:rsid w:val="1B903EE2"/>
    <w:rsid w:val="1B9B7472"/>
    <w:rsid w:val="1BA0668A"/>
    <w:rsid w:val="1BBC1049"/>
    <w:rsid w:val="1BC67D9A"/>
    <w:rsid w:val="1BD2635E"/>
    <w:rsid w:val="1BDA50E3"/>
    <w:rsid w:val="1BDD017A"/>
    <w:rsid w:val="1BE2301B"/>
    <w:rsid w:val="1BE87F93"/>
    <w:rsid w:val="1BF867C3"/>
    <w:rsid w:val="1C04440C"/>
    <w:rsid w:val="1C0556D6"/>
    <w:rsid w:val="1C0B74FC"/>
    <w:rsid w:val="1C101482"/>
    <w:rsid w:val="1C13798A"/>
    <w:rsid w:val="1C1625E8"/>
    <w:rsid w:val="1C1D6CC9"/>
    <w:rsid w:val="1C20757A"/>
    <w:rsid w:val="1C263616"/>
    <w:rsid w:val="1C2F45BE"/>
    <w:rsid w:val="1C316715"/>
    <w:rsid w:val="1C377675"/>
    <w:rsid w:val="1C3D50A3"/>
    <w:rsid w:val="1C700429"/>
    <w:rsid w:val="1C757F7F"/>
    <w:rsid w:val="1C787286"/>
    <w:rsid w:val="1C7A531A"/>
    <w:rsid w:val="1C7A7D5A"/>
    <w:rsid w:val="1C7D7EB8"/>
    <w:rsid w:val="1C8801E2"/>
    <w:rsid w:val="1C89068F"/>
    <w:rsid w:val="1C924399"/>
    <w:rsid w:val="1C9A5EA0"/>
    <w:rsid w:val="1C9A6A63"/>
    <w:rsid w:val="1C9F6C4A"/>
    <w:rsid w:val="1CBB0F59"/>
    <w:rsid w:val="1CBB7CFB"/>
    <w:rsid w:val="1CBE2DAD"/>
    <w:rsid w:val="1CC55E82"/>
    <w:rsid w:val="1CC7659B"/>
    <w:rsid w:val="1CCC53E0"/>
    <w:rsid w:val="1CD41FC4"/>
    <w:rsid w:val="1CD955BC"/>
    <w:rsid w:val="1CD96F2D"/>
    <w:rsid w:val="1CDB2822"/>
    <w:rsid w:val="1CE1155B"/>
    <w:rsid w:val="1CF52455"/>
    <w:rsid w:val="1CFB4DD2"/>
    <w:rsid w:val="1CFB7A1C"/>
    <w:rsid w:val="1D024D60"/>
    <w:rsid w:val="1D0D3BEC"/>
    <w:rsid w:val="1D116B5B"/>
    <w:rsid w:val="1D2768F8"/>
    <w:rsid w:val="1D2C06E2"/>
    <w:rsid w:val="1D3B59B9"/>
    <w:rsid w:val="1D441B58"/>
    <w:rsid w:val="1D4428DE"/>
    <w:rsid w:val="1D487B7E"/>
    <w:rsid w:val="1D4D79F9"/>
    <w:rsid w:val="1D5D6ACF"/>
    <w:rsid w:val="1D5E7A8C"/>
    <w:rsid w:val="1D6222F8"/>
    <w:rsid w:val="1D805237"/>
    <w:rsid w:val="1D810454"/>
    <w:rsid w:val="1D8A6D06"/>
    <w:rsid w:val="1D930C98"/>
    <w:rsid w:val="1D9F313C"/>
    <w:rsid w:val="1D9F4467"/>
    <w:rsid w:val="1DA2040C"/>
    <w:rsid w:val="1DA533ED"/>
    <w:rsid w:val="1DA83214"/>
    <w:rsid w:val="1DB65020"/>
    <w:rsid w:val="1DC30DCF"/>
    <w:rsid w:val="1DC41BB0"/>
    <w:rsid w:val="1DC65AF6"/>
    <w:rsid w:val="1DD614D7"/>
    <w:rsid w:val="1DEC2E2A"/>
    <w:rsid w:val="1DF57EA4"/>
    <w:rsid w:val="1E042D27"/>
    <w:rsid w:val="1E0A70F7"/>
    <w:rsid w:val="1E0E23C8"/>
    <w:rsid w:val="1E0F2815"/>
    <w:rsid w:val="1E365099"/>
    <w:rsid w:val="1E377012"/>
    <w:rsid w:val="1E3C35CE"/>
    <w:rsid w:val="1E440A9D"/>
    <w:rsid w:val="1E4E7A0E"/>
    <w:rsid w:val="1E4F1888"/>
    <w:rsid w:val="1E742DF8"/>
    <w:rsid w:val="1E750074"/>
    <w:rsid w:val="1E7D153B"/>
    <w:rsid w:val="1E95488C"/>
    <w:rsid w:val="1E9F341B"/>
    <w:rsid w:val="1EA42A59"/>
    <w:rsid w:val="1EA569F7"/>
    <w:rsid w:val="1EA90065"/>
    <w:rsid w:val="1EAC5F6A"/>
    <w:rsid w:val="1EB1048D"/>
    <w:rsid w:val="1EB23F53"/>
    <w:rsid w:val="1EB31AED"/>
    <w:rsid w:val="1EBB6441"/>
    <w:rsid w:val="1EDF0012"/>
    <w:rsid w:val="1EE10A81"/>
    <w:rsid w:val="1EE5726D"/>
    <w:rsid w:val="1EF43711"/>
    <w:rsid w:val="1EF451B0"/>
    <w:rsid w:val="1EF6775E"/>
    <w:rsid w:val="1EFE123B"/>
    <w:rsid w:val="1EFE1FB4"/>
    <w:rsid w:val="1F015E1D"/>
    <w:rsid w:val="1F0467F7"/>
    <w:rsid w:val="1F054165"/>
    <w:rsid w:val="1F0C79F2"/>
    <w:rsid w:val="1F123352"/>
    <w:rsid w:val="1F1659F6"/>
    <w:rsid w:val="1F2963FC"/>
    <w:rsid w:val="1F2A5DDB"/>
    <w:rsid w:val="1F3B75FF"/>
    <w:rsid w:val="1F41163A"/>
    <w:rsid w:val="1F4B098F"/>
    <w:rsid w:val="1F546471"/>
    <w:rsid w:val="1F5772DA"/>
    <w:rsid w:val="1F5C3C4E"/>
    <w:rsid w:val="1F690D21"/>
    <w:rsid w:val="1F743C11"/>
    <w:rsid w:val="1F7B76BF"/>
    <w:rsid w:val="1F7C26CB"/>
    <w:rsid w:val="1F7F7D85"/>
    <w:rsid w:val="1F885D57"/>
    <w:rsid w:val="1F9A4A72"/>
    <w:rsid w:val="1FA27229"/>
    <w:rsid w:val="1FA6339C"/>
    <w:rsid w:val="1FAF73DE"/>
    <w:rsid w:val="1FB11014"/>
    <w:rsid w:val="1FBB763F"/>
    <w:rsid w:val="1FBC79E0"/>
    <w:rsid w:val="1FC74197"/>
    <w:rsid w:val="1FD479BA"/>
    <w:rsid w:val="1FD55230"/>
    <w:rsid w:val="1FD641AB"/>
    <w:rsid w:val="1FE15B0A"/>
    <w:rsid w:val="1FEA36CF"/>
    <w:rsid w:val="20006656"/>
    <w:rsid w:val="20084F74"/>
    <w:rsid w:val="200C6F0C"/>
    <w:rsid w:val="20192735"/>
    <w:rsid w:val="201D4044"/>
    <w:rsid w:val="201E5A7F"/>
    <w:rsid w:val="20213B0F"/>
    <w:rsid w:val="202C6A57"/>
    <w:rsid w:val="20347263"/>
    <w:rsid w:val="20380D58"/>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06B66"/>
    <w:rsid w:val="20A3135D"/>
    <w:rsid w:val="20A443A7"/>
    <w:rsid w:val="20AC32E3"/>
    <w:rsid w:val="20B27C05"/>
    <w:rsid w:val="20C05709"/>
    <w:rsid w:val="20CA4CDE"/>
    <w:rsid w:val="20DE6240"/>
    <w:rsid w:val="20E02A2D"/>
    <w:rsid w:val="20EA32FE"/>
    <w:rsid w:val="20EF7279"/>
    <w:rsid w:val="20F17C8F"/>
    <w:rsid w:val="20FE3807"/>
    <w:rsid w:val="210C0C5D"/>
    <w:rsid w:val="2118732E"/>
    <w:rsid w:val="212B15F0"/>
    <w:rsid w:val="212D241D"/>
    <w:rsid w:val="21485CC6"/>
    <w:rsid w:val="214E6726"/>
    <w:rsid w:val="2150457A"/>
    <w:rsid w:val="215E0FE1"/>
    <w:rsid w:val="21704749"/>
    <w:rsid w:val="21861895"/>
    <w:rsid w:val="21882C92"/>
    <w:rsid w:val="218A0326"/>
    <w:rsid w:val="218B5863"/>
    <w:rsid w:val="21963AE9"/>
    <w:rsid w:val="219648AE"/>
    <w:rsid w:val="219926C2"/>
    <w:rsid w:val="21B92386"/>
    <w:rsid w:val="21C671D5"/>
    <w:rsid w:val="21CC6790"/>
    <w:rsid w:val="21CD469C"/>
    <w:rsid w:val="21D33ED7"/>
    <w:rsid w:val="21D71CCE"/>
    <w:rsid w:val="21DB194C"/>
    <w:rsid w:val="21E7264A"/>
    <w:rsid w:val="21EC11B4"/>
    <w:rsid w:val="21F139D9"/>
    <w:rsid w:val="21F75252"/>
    <w:rsid w:val="21FC15A7"/>
    <w:rsid w:val="22063857"/>
    <w:rsid w:val="22243C81"/>
    <w:rsid w:val="22243ED5"/>
    <w:rsid w:val="22321EC4"/>
    <w:rsid w:val="22352E93"/>
    <w:rsid w:val="223B79DE"/>
    <w:rsid w:val="223C0908"/>
    <w:rsid w:val="223E4404"/>
    <w:rsid w:val="224B437A"/>
    <w:rsid w:val="224D0D69"/>
    <w:rsid w:val="22656FB5"/>
    <w:rsid w:val="22901790"/>
    <w:rsid w:val="2290426C"/>
    <w:rsid w:val="22A91330"/>
    <w:rsid w:val="22AB3B04"/>
    <w:rsid w:val="22B34785"/>
    <w:rsid w:val="22B45A21"/>
    <w:rsid w:val="22B93637"/>
    <w:rsid w:val="22CA64AE"/>
    <w:rsid w:val="22D04F77"/>
    <w:rsid w:val="22EB053C"/>
    <w:rsid w:val="22F149E7"/>
    <w:rsid w:val="23151BBD"/>
    <w:rsid w:val="231A1850"/>
    <w:rsid w:val="231D6C85"/>
    <w:rsid w:val="232064A5"/>
    <w:rsid w:val="232A5F2C"/>
    <w:rsid w:val="232F0E77"/>
    <w:rsid w:val="233D44D4"/>
    <w:rsid w:val="234902A8"/>
    <w:rsid w:val="234A49FF"/>
    <w:rsid w:val="2352170F"/>
    <w:rsid w:val="23533331"/>
    <w:rsid w:val="23537622"/>
    <w:rsid w:val="236739BC"/>
    <w:rsid w:val="237D24A5"/>
    <w:rsid w:val="237E0DFB"/>
    <w:rsid w:val="237E7F63"/>
    <w:rsid w:val="238718C4"/>
    <w:rsid w:val="238B1768"/>
    <w:rsid w:val="238C26AF"/>
    <w:rsid w:val="23A60BED"/>
    <w:rsid w:val="23AF20CF"/>
    <w:rsid w:val="23BE0C34"/>
    <w:rsid w:val="23CB68DD"/>
    <w:rsid w:val="23DB255A"/>
    <w:rsid w:val="23EE567F"/>
    <w:rsid w:val="23F134D0"/>
    <w:rsid w:val="23FE39DA"/>
    <w:rsid w:val="2409287D"/>
    <w:rsid w:val="24096248"/>
    <w:rsid w:val="24141A6F"/>
    <w:rsid w:val="2414434C"/>
    <w:rsid w:val="241B4EFA"/>
    <w:rsid w:val="2422724B"/>
    <w:rsid w:val="242B3B37"/>
    <w:rsid w:val="245B7134"/>
    <w:rsid w:val="246F1B15"/>
    <w:rsid w:val="24703780"/>
    <w:rsid w:val="2485277B"/>
    <w:rsid w:val="248F2AEF"/>
    <w:rsid w:val="2492033C"/>
    <w:rsid w:val="249D3DA9"/>
    <w:rsid w:val="24AD6B35"/>
    <w:rsid w:val="24B13323"/>
    <w:rsid w:val="24B335A8"/>
    <w:rsid w:val="24C6327F"/>
    <w:rsid w:val="24D334B9"/>
    <w:rsid w:val="24D834E8"/>
    <w:rsid w:val="24EA2AB5"/>
    <w:rsid w:val="24F0331A"/>
    <w:rsid w:val="24FD2B02"/>
    <w:rsid w:val="25024CF1"/>
    <w:rsid w:val="250C2B84"/>
    <w:rsid w:val="25112921"/>
    <w:rsid w:val="25153A7B"/>
    <w:rsid w:val="251B4C7B"/>
    <w:rsid w:val="251B7C63"/>
    <w:rsid w:val="252F41B5"/>
    <w:rsid w:val="253E482D"/>
    <w:rsid w:val="25415276"/>
    <w:rsid w:val="25443395"/>
    <w:rsid w:val="25480684"/>
    <w:rsid w:val="254B11E9"/>
    <w:rsid w:val="255514A1"/>
    <w:rsid w:val="255B6449"/>
    <w:rsid w:val="25703075"/>
    <w:rsid w:val="25780C8E"/>
    <w:rsid w:val="258007D6"/>
    <w:rsid w:val="25892068"/>
    <w:rsid w:val="25A534F7"/>
    <w:rsid w:val="25B40894"/>
    <w:rsid w:val="25C1645F"/>
    <w:rsid w:val="25D80A4D"/>
    <w:rsid w:val="25DB181A"/>
    <w:rsid w:val="25E049B0"/>
    <w:rsid w:val="25F92FDB"/>
    <w:rsid w:val="26001A57"/>
    <w:rsid w:val="26022936"/>
    <w:rsid w:val="26095F44"/>
    <w:rsid w:val="263142D4"/>
    <w:rsid w:val="26316FE7"/>
    <w:rsid w:val="26447916"/>
    <w:rsid w:val="265E0639"/>
    <w:rsid w:val="266866BD"/>
    <w:rsid w:val="26696824"/>
    <w:rsid w:val="266C42F7"/>
    <w:rsid w:val="267109C3"/>
    <w:rsid w:val="267365C7"/>
    <w:rsid w:val="268A5924"/>
    <w:rsid w:val="26972C43"/>
    <w:rsid w:val="26A31E28"/>
    <w:rsid w:val="26B650E7"/>
    <w:rsid w:val="26CB7903"/>
    <w:rsid w:val="26D11F9C"/>
    <w:rsid w:val="26D771E7"/>
    <w:rsid w:val="26E66172"/>
    <w:rsid w:val="26E9770B"/>
    <w:rsid w:val="26ED2E1C"/>
    <w:rsid w:val="26EF6891"/>
    <w:rsid w:val="27064754"/>
    <w:rsid w:val="271313BF"/>
    <w:rsid w:val="27190AE2"/>
    <w:rsid w:val="271E48E1"/>
    <w:rsid w:val="2728538E"/>
    <w:rsid w:val="272F28E5"/>
    <w:rsid w:val="273E000B"/>
    <w:rsid w:val="275A49BC"/>
    <w:rsid w:val="275C1141"/>
    <w:rsid w:val="276023AE"/>
    <w:rsid w:val="27685C29"/>
    <w:rsid w:val="276E5922"/>
    <w:rsid w:val="276E5D6B"/>
    <w:rsid w:val="276F6AD9"/>
    <w:rsid w:val="277C70AE"/>
    <w:rsid w:val="278630A6"/>
    <w:rsid w:val="2786663F"/>
    <w:rsid w:val="278803E2"/>
    <w:rsid w:val="27883A43"/>
    <w:rsid w:val="27B947C2"/>
    <w:rsid w:val="27BA2CFE"/>
    <w:rsid w:val="27CD25D1"/>
    <w:rsid w:val="27DB36C2"/>
    <w:rsid w:val="27DB4429"/>
    <w:rsid w:val="28052235"/>
    <w:rsid w:val="281430C3"/>
    <w:rsid w:val="28152F24"/>
    <w:rsid w:val="281671B7"/>
    <w:rsid w:val="281E3EAE"/>
    <w:rsid w:val="28395805"/>
    <w:rsid w:val="285D13A9"/>
    <w:rsid w:val="28621496"/>
    <w:rsid w:val="28665560"/>
    <w:rsid w:val="2880449B"/>
    <w:rsid w:val="28966908"/>
    <w:rsid w:val="289813BC"/>
    <w:rsid w:val="28A742C0"/>
    <w:rsid w:val="28B16BAC"/>
    <w:rsid w:val="28B222C6"/>
    <w:rsid w:val="28BC08CE"/>
    <w:rsid w:val="28C820A4"/>
    <w:rsid w:val="28CF2CCD"/>
    <w:rsid w:val="28D334D0"/>
    <w:rsid w:val="28D66289"/>
    <w:rsid w:val="28D701CA"/>
    <w:rsid w:val="28EB5815"/>
    <w:rsid w:val="28F905BC"/>
    <w:rsid w:val="28F97541"/>
    <w:rsid w:val="28FA5BE1"/>
    <w:rsid w:val="28FB187E"/>
    <w:rsid w:val="2902799C"/>
    <w:rsid w:val="290B3ADD"/>
    <w:rsid w:val="29224C33"/>
    <w:rsid w:val="29242AD0"/>
    <w:rsid w:val="29251C92"/>
    <w:rsid w:val="29352E7A"/>
    <w:rsid w:val="29415D74"/>
    <w:rsid w:val="29421D49"/>
    <w:rsid w:val="29537E1D"/>
    <w:rsid w:val="2954117E"/>
    <w:rsid w:val="295B0F1F"/>
    <w:rsid w:val="295B72FD"/>
    <w:rsid w:val="296854E7"/>
    <w:rsid w:val="296D615D"/>
    <w:rsid w:val="296E046F"/>
    <w:rsid w:val="296E145D"/>
    <w:rsid w:val="29703F71"/>
    <w:rsid w:val="29705FD0"/>
    <w:rsid w:val="297A51BC"/>
    <w:rsid w:val="298D58DE"/>
    <w:rsid w:val="299270F0"/>
    <w:rsid w:val="299D603F"/>
    <w:rsid w:val="29A9096D"/>
    <w:rsid w:val="29F31B60"/>
    <w:rsid w:val="29FD3CFC"/>
    <w:rsid w:val="29FF2DEE"/>
    <w:rsid w:val="2A010675"/>
    <w:rsid w:val="2A0555DF"/>
    <w:rsid w:val="2A074829"/>
    <w:rsid w:val="2A164EBF"/>
    <w:rsid w:val="2A203DF6"/>
    <w:rsid w:val="2A2C2481"/>
    <w:rsid w:val="2A386268"/>
    <w:rsid w:val="2A3D2220"/>
    <w:rsid w:val="2A460ABD"/>
    <w:rsid w:val="2A483EE6"/>
    <w:rsid w:val="2A55053C"/>
    <w:rsid w:val="2A612E01"/>
    <w:rsid w:val="2A6625BB"/>
    <w:rsid w:val="2A6E53DD"/>
    <w:rsid w:val="2A6F665D"/>
    <w:rsid w:val="2A7478E4"/>
    <w:rsid w:val="2A75394A"/>
    <w:rsid w:val="2A7B1A6A"/>
    <w:rsid w:val="2A9D2B12"/>
    <w:rsid w:val="2AA26DDA"/>
    <w:rsid w:val="2AA71F23"/>
    <w:rsid w:val="2AA824F5"/>
    <w:rsid w:val="2AB17574"/>
    <w:rsid w:val="2AB87157"/>
    <w:rsid w:val="2ABA6525"/>
    <w:rsid w:val="2ACD11D1"/>
    <w:rsid w:val="2AD212BC"/>
    <w:rsid w:val="2AD35375"/>
    <w:rsid w:val="2AD42302"/>
    <w:rsid w:val="2AE62A58"/>
    <w:rsid w:val="2AF10F9A"/>
    <w:rsid w:val="2AF81ECB"/>
    <w:rsid w:val="2AF87E90"/>
    <w:rsid w:val="2AFF1DEE"/>
    <w:rsid w:val="2B030144"/>
    <w:rsid w:val="2B093A45"/>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6674DA"/>
    <w:rsid w:val="2B7327A0"/>
    <w:rsid w:val="2B7B3555"/>
    <w:rsid w:val="2B8D5E85"/>
    <w:rsid w:val="2B98279B"/>
    <w:rsid w:val="2B985EDD"/>
    <w:rsid w:val="2BA63509"/>
    <w:rsid w:val="2BB7432C"/>
    <w:rsid w:val="2BBC1803"/>
    <w:rsid w:val="2BC37AF5"/>
    <w:rsid w:val="2BCA2615"/>
    <w:rsid w:val="2BCD5BB3"/>
    <w:rsid w:val="2BCE12ED"/>
    <w:rsid w:val="2BCE5522"/>
    <w:rsid w:val="2BD348BC"/>
    <w:rsid w:val="2BE36359"/>
    <w:rsid w:val="2BE77ECB"/>
    <w:rsid w:val="2BEA35FC"/>
    <w:rsid w:val="2BFB0B13"/>
    <w:rsid w:val="2C230952"/>
    <w:rsid w:val="2C235F5A"/>
    <w:rsid w:val="2C343D09"/>
    <w:rsid w:val="2C5E5584"/>
    <w:rsid w:val="2C6124AA"/>
    <w:rsid w:val="2C686023"/>
    <w:rsid w:val="2C6C33C4"/>
    <w:rsid w:val="2C6C3A10"/>
    <w:rsid w:val="2C757714"/>
    <w:rsid w:val="2C7776E5"/>
    <w:rsid w:val="2C7A2BC6"/>
    <w:rsid w:val="2C7D09EA"/>
    <w:rsid w:val="2C824963"/>
    <w:rsid w:val="2C8766FB"/>
    <w:rsid w:val="2C907E61"/>
    <w:rsid w:val="2C9B65C3"/>
    <w:rsid w:val="2CA05C4F"/>
    <w:rsid w:val="2CB06759"/>
    <w:rsid w:val="2CB266D0"/>
    <w:rsid w:val="2CBD7757"/>
    <w:rsid w:val="2CC44E07"/>
    <w:rsid w:val="2CC569CB"/>
    <w:rsid w:val="2CC74803"/>
    <w:rsid w:val="2CCE1CF6"/>
    <w:rsid w:val="2CEB5CD0"/>
    <w:rsid w:val="2CF84705"/>
    <w:rsid w:val="2D0C4D5C"/>
    <w:rsid w:val="2D1929EF"/>
    <w:rsid w:val="2D1E1FFA"/>
    <w:rsid w:val="2D1E36F5"/>
    <w:rsid w:val="2D2E00AD"/>
    <w:rsid w:val="2D2E1EC3"/>
    <w:rsid w:val="2D317FAA"/>
    <w:rsid w:val="2D39472D"/>
    <w:rsid w:val="2D4C0E52"/>
    <w:rsid w:val="2D4C5395"/>
    <w:rsid w:val="2D533456"/>
    <w:rsid w:val="2D5809C0"/>
    <w:rsid w:val="2D5D3242"/>
    <w:rsid w:val="2D623805"/>
    <w:rsid w:val="2D6D3CA2"/>
    <w:rsid w:val="2D781D43"/>
    <w:rsid w:val="2D7D7121"/>
    <w:rsid w:val="2D83060C"/>
    <w:rsid w:val="2D854A69"/>
    <w:rsid w:val="2D8A0306"/>
    <w:rsid w:val="2D9F76F9"/>
    <w:rsid w:val="2DA74F81"/>
    <w:rsid w:val="2DAB42E1"/>
    <w:rsid w:val="2DB26597"/>
    <w:rsid w:val="2DB5614E"/>
    <w:rsid w:val="2DCB194C"/>
    <w:rsid w:val="2DCC230C"/>
    <w:rsid w:val="2DD3278C"/>
    <w:rsid w:val="2DD66EDF"/>
    <w:rsid w:val="2DDF642E"/>
    <w:rsid w:val="2DE32A97"/>
    <w:rsid w:val="2DE7057C"/>
    <w:rsid w:val="2DF44D52"/>
    <w:rsid w:val="2DF635D7"/>
    <w:rsid w:val="2DF9019C"/>
    <w:rsid w:val="2DFA040F"/>
    <w:rsid w:val="2E056DE4"/>
    <w:rsid w:val="2E066EF7"/>
    <w:rsid w:val="2E0901D2"/>
    <w:rsid w:val="2E1A3E74"/>
    <w:rsid w:val="2E203718"/>
    <w:rsid w:val="2E234CF1"/>
    <w:rsid w:val="2E2746AE"/>
    <w:rsid w:val="2E2A3A31"/>
    <w:rsid w:val="2E2C6D07"/>
    <w:rsid w:val="2E2F6083"/>
    <w:rsid w:val="2E355706"/>
    <w:rsid w:val="2E454D2B"/>
    <w:rsid w:val="2E572CC0"/>
    <w:rsid w:val="2E5B5381"/>
    <w:rsid w:val="2EA13F74"/>
    <w:rsid w:val="2EA3796D"/>
    <w:rsid w:val="2EB005F7"/>
    <w:rsid w:val="2EB14523"/>
    <w:rsid w:val="2EB5032D"/>
    <w:rsid w:val="2ECA71C4"/>
    <w:rsid w:val="2ECC4907"/>
    <w:rsid w:val="2ED42187"/>
    <w:rsid w:val="2EDB1B05"/>
    <w:rsid w:val="2EDD6653"/>
    <w:rsid w:val="2EDE6E27"/>
    <w:rsid w:val="2EE124DD"/>
    <w:rsid w:val="2EE70CD5"/>
    <w:rsid w:val="2EEF4A6B"/>
    <w:rsid w:val="2F055B2A"/>
    <w:rsid w:val="2F0D112B"/>
    <w:rsid w:val="2F3A54E2"/>
    <w:rsid w:val="2F413369"/>
    <w:rsid w:val="2F4F5EEC"/>
    <w:rsid w:val="2F501AFD"/>
    <w:rsid w:val="2F525F81"/>
    <w:rsid w:val="2F5551FE"/>
    <w:rsid w:val="2F6126A2"/>
    <w:rsid w:val="2F657E18"/>
    <w:rsid w:val="2F6F1349"/>
    <w:rsid w:val="2F7F3437"/>
    <w:rsid w:val="2F817DD0"/>
    <w:rsid w:val="2F825648"/>
    <w:rsid w:val="2F8B1796"/>
    <w:rsid w:val="2F9B6578"/>
    <w:rsid w:val="2F9F4AF8"/>
    <w:rsid w:val="2FAB7AE6"/>
    <w:rsid w:val="2FC56F8E"/>
    <w:rsid w:val="2FD804D0"/>
    <w:rsid w:val="2FEA312C"/>
    <w:rsid w:val="2FF51385"/>
    <w:rsid w:val="2FFB449B"/>
    <w:rsid w:val="2FFE0E4A"/>
    <w:rsid w:val="30032FEE"/>
    <w:rsid w:val="300635B2"/>
    <w:rsid w:val="30070CA9"/>
    <w:rsid w:val="300D11EE"/>
    <w:rsid w:val="300F2D5A"/>
    <w:rsid w:val="301C6BB4"/>
    <w:rsid w:val="30214C7E"/>
    <w:rsid w:val="302F6ADD"/>
    <w:rsid w:val="30314F45"/>
    <w:rsid w:val="3042487F"/>
    <w:rsid w:val="304917B8"/>
    <w:rsid w:val="304D5D1A"/>
    <w:rsid w:val="304F6507"/>
    <w:rsid w:val="305B6E73"/>
    <w:rsid w:val="305E79BD"/>
    <w:rsid w:val="30624751"/>
    <w:rsid w:val="3081657F"/>
    <w:rsid w:val="308817D6"/>
    <w:rsid w:val="309E55A3"/>
    <w:rsid w:val="30A64A4F"/>
    <w:rsid w:val="30A9367D"/>
    <w:rsid w:val="30B31354"/>
    <w:rsid w:val="30B31546"/>
    <w:rsid w:val="30D51325"/>
    <w:rsid w:val="30DC47F8"/>
    <w:rsid w:val="30E92225"/>
    <w:rsid w:val="30EB42D6"/>
    <w:rsid w:val="30F00D6B"/>
    <w:rsid w:val="30F91599"/>
    <w:rsid w:val="30FD18B7"/>
    <w:rsid w:val="31073C5C"/>
    <w:rsid w:val="310760B3"/>
    <w:rsid w:val="31082C64"/>
    <w:rsid w:val="31092B4D"/>
    <w:rsid w:val="31223AD7"/>
    <w:rsid w:val="312566FC"/>
    <w:rsid w:val="312F75C1"/>
    <w:rsid w:val="31366F42"/>
    <w:rsid w:val="313C7BC6"/>
    <w:rsid w:val="31443D27"/>
    <w:rsid w:val="317B6247"/>
    <w:rsid w:val="3184584E"/>
    <w:rsid w:val="31890AFA"/>
    <w:rsid w:val="31942C78"/>
    <w:rsid w:val="31B575A2"/>
    <w:rsid w:val="31BE62BB"/>
    <w:rsid w:val="31D404B6"/>
    <w:rsid w:val="31DE2BE9"/>
    <w:rsid w:val="31E159BF"/>
    <w:rsid w:val="31E31A45"/>
    <w:rsid w:val="31EE1B5E"/>
    <w:rsid w:val="31F95C2B"/>
    <w:rsid w:val="321D6B3D"/>
    <w:rsid w:val="3220264A"/>
    <w:rsid w:val="32270B61"/>
    <w:rsid w:val="323E51C2"/>
    <w:rsid w:val="32400044"/>
    <w:rsid w:val="32563927"/>
    <w:rsid w:val="325D2CD1"/>
    <w:rsid w:val="326052C1"/>
    <w:rsid w:val="32644F9E"/>
    <w:rsid w:val="326B0BAF"/>
    <w:rsid w:val="327370E0"/>
    <w:rsid w:val="32764D1D"/>
    <w:rsid w:val="32844B47"/>
    <w:rsid w:val="3288180B"/>
    <w:rsid w:val="32AC064F"/>
    <w:rsid w:val="32B62C32"/>
    <w:rsid w:val="32BE44DF"/>
    <w:rsid w:val="32D23AA1"/>
    <w:rsid w:val="32E7237C"/>
    <w:rsid w:val="32EE24F2"/>
    <w:rsid w:val="32F849BA"/>
    <w:rsid w:val="32FA4E00"/>
    <w:rsid w:val="33097FCB"/>
    <w:rsid w:val="330F07F9"/>
    <w:rsid w:val="331E1AA2"/>
    <w:rsid w:val="33236153"/>
    <w:rsid w:val="3325361E"/>
    <w:rsid w:val="332C6DB4"/>
    <w:rsid w:val="333971B7"/>
    <w:rsid w:val="333B07B1"/>
    <w:rsid w:val="33407A22"/>
    <w:rsid w:val="3343097A"/>
    <w:rsid w:val="33603210"/>
    <w:rsid w:val="33684AED"/>
    <w:rsid w:val="336E0120"/>
    <w:rsid w:val="33753B52"/>
    <w:rsid w:val="337E5775"/>
    <w:rsid w:val="33AF031D"/>
    <w:rsid w:val="33BC761E"/>
    <w:rsid w:val="33BF6CBC"/>
    <w:rsid w:val="33D2644C"/>
    <w:rsid w:val="33D81A4C"/>
    <w:rsid w:val="33DF4467"/>
    <w:rsid w:val="33FC5728"/>
    <w:rsid w:val="340636B9"/>
    <w:rsid w:val="34086B9E"/>
    <w:rsid w:val="3424694F"/>
    <w:rsid w:val="342F6D32"/>
    <w:rsid w:val="343C4573"/>
    <w:rsid w:val="3442587D"/>
    <w:rsid w:val="34516FC2"/>
    <w:rsid w:val="34555684"/>
    <w:rsid w:val="34660FB4"/>
    <w:rsid w:val="346F196C"/>
    <w:rsid w:val="348C027B"/>
    <w:rsid w:val="34921202"/>
    <w:rsid w:val="34974D2D"/>
    <w:rsid w:val="34A01296"/>
    <w:rsid w:val="34A72BC4"/>
    <w:rsid w:val="34AD636D"/>
    <w:rsid w:val="34BC5F61"/>
    <w:rsid w:val="34C868B7"/>
    <w:rsid w:val="34D35AEF"/>
    <w:rsid w:val="34D37972"/>
    <w:rsid w:val="34D6123A"/>
    <w:rsid w:val="34F76022"/>
    <w:rsid w:val="35027278"/>
    <w:rsid w:val="35066340"/>
    <w:rsid w:val="35194A87"/>
    <w:rsid w:val="351A6AAD"/>
    <w:rsid w:val="352C21B2"/>
    <w:rsid w:val="35441378"/>
    <w:rsid w:val="354C204D"/>
    <w:rsid w:val="35533710"/>
    <w:rsid w:val="355B6A6F"/>
    <w:rsid w:val="35616185"/>
    <w:rsid w:val="356C7D73"/>
    <w:rsid w:val="357E1639"/>
    <w:rsid w:val="35834702"/>
    <w:rsid w:val="35952CEE"/>
    <w:rsid w:val="35A437E8"/>
    <w:rsid w:val="35AB2012"/>
    <w:rsid w:val="35AF1A13"/>
    <w:rsid w:val="35B64FD1"/>
    <w:rsid w:val="35BD4078"/>
    <w:rsid w:val="35CE48BF"/>
    <w:rsid w:val="35D3331D"/>
    <w:rsid w:val="35DF58BF"/>
    <w:rsid w:val="35E33C08"/>
    <w:rsid w:val="35E4076D"/>
    <w:rsid w:val="35E8647A"/>
    <w:rsid w:val="35F20EA6"/>
    <w:rsid w:val="35F36637"/>
    <w:rsid w:val="35F66BBA"/>
    <w:rsid w:val="360252AE"/>
    <w:rsid w:val="36187E47"/>
    <w:rsid w:val="36216BEE"/>
    <w:rsid w:val="36285816"/>
    <w:rsid w:val="362A457F"/>
    <w:rsid w:val="362B4D6E"/>
    <w:rsid w:val="362C2535"/>
    <w:rsid w:val="36302208"/>
    <w:rsid w:val="36471A5E"/>
    <w:rsid w:val="364931EB"/>
    <w:rsid w:val="3667341B"/>
    <w:rsid w:val="36751470"/>
    <w:rsid w:val="36831F31"/>
    <w:rsid w:val="36887E64"/>
    <w:rsid w:val="368A2FB4"/>
    <w:rsid w:val="368C3AE5"/>
    <w:rsid w:val="36961ED1"/>
    <w:rsid w:val="36A15210"/>
    <w:rsid w:val="36AB4006"/>
    <w:rsid w:val="36AC17C1"/>
    <w:rsid w:val="36BA5016"/>
    <w:rsid w:val="36BE1918"/>
    <w:rsid w:val="36BE2266"/>
    <w:rsid w:val="36C02FF5"/>
    <w:rsid w:val="36C8525D"/>
    <w:rsid w:val="36CE2B8B"/>
    <w:rsid w:val="36DA5D27"/>
    <w:rsid w:val="36DF0826"/>
    <w:rsid w:val="36E53D9A"/>
    <w:rsid w:val="36EE176D"/>
    <w:rsid w:val="36F4518E"/>
    <w:rsid w:val="36FE1089"/>
    <w:rsid w:val="370214AD"/>
    <w:rsid w:val="37036FE3"/>
    <w:rsid w:val="370749B6"/>
    <w:rsid w:val="370F26F6"/>
    <w:rsid w:val="37100355"/>
    <w:rsid w:val="37113004"/>
    <w:rsid w:val="371D628A"/>
    <w:rsid w:val="371F66C4"/>
    <w:rsid w:val="3723798B"/>
    <w:rsid w:val="3729092C"/>
    <w:rsid w:val="372A115D"/>
    <w:rsid w:val="372A6492"/>
    <w:rsid w:val="37342B76"/>
    <w:rsid w:val="373569A8"/>
    <w:rsid w:val="373A2E6A"/>
    <w:rsid w:val="37714675"/>
    <w:rsid w:val="3779264E"/>
    <w:rsid w:val="377B1BC4"/>
    <w:rsid w:val="37866BB7"/>
    <w:rsid w:val="378A7959"/>
    <w:rsid w:val="379151F3"/>
    <w:rsid w:val="3792524B"/>
    <w:rsid w:val="37940C52"/>
    <w:rsid w:val="37947D35"/>
    <w:rsid w:val="37964800"/>
    <w:rsid w:val="37A30873"/>
    <w:rsid w:val="37A82E6A"/>
    <w:rsid w:val="37AD2BE0"/>
    <w:rsid w:val="37C04076"/>
    <w:rsid w:val="37C513E1"/>
    <w:rsid w:val="37CB48C8"/>
    <w:rsid w:val="37CC77E5"/>
    <w:rsid w:val="37D42753"/>
    <w:rsid w:val="37EB7EF5"/>
    <w:rsid w:val="37EF04F2"/>
    <w:rsid w:val="37FB0B3E"/>
    <w:rsid w:val="38055B4D"/>
    <w:rsid w:val="38174BCF"/>
    <w:rsid w:val="381B47D0"/>
    <w:rsid w:val="38274ABD"/>
    <w:rsid w:val="382D1422"/>
    <w:rsid w:val="382D2E19"/>
    <w:rsid w:val="382E08BB"/>
    <w:rsid w:val="383057ED"/>
    <w:rsid w:val="38345640"/>
    <w:rsid w:val="38350C02"/>
    <w:rsid w:val="383651A6"/>
    <w:rsid w:val="384C67B9"/>
    <w:rsid w:val="384E6F01"/>
    <w:rsid w:val="385E3236"/>
    <w:rsid w:val="38707D56"/>
    <w:rsid w:val="38766C47"/>
    <w:rsid w:val="3887059F"/>
    <w:rsid w:val="38880168"/>
    <w:rsid w:val="388F0D9F"/>
    <w:rsid w:val="38922097"/>
    <w:rsid w:val="38BB7AE2"/>
    <w:rsid w:val="38CC185A"/>
    <w:rsid w:val="38D233FA"/>
    <w:rsid w:val="38D43BCE"/>
    <w:rsid w:val="38D5234B"/>
    <w:rsid w:val="38D5710F"/>
    <w:rsid w:val="38EA64E4"/>
    <w:rsid w:val="38FA0464"/>
    <w:rsid w:val="38FF192C"/>
    <w:rsid w:val="39145CDB"/>
    <w:rsid w:val="391C4E68"/>
    <w:rsid w:val="393F6FB8"/>
    <w:rsid w:val="39563559"/>
    <w:rsid w:val="39570EDE"/>
    <w:rsid w:val="395B167E"/>
    <w:rsid w:val="39604460"/>
    <w:rsid w:val="39615265"/>
    <w:rsid w:val="39656815"/>
    <w:rsid w:val="3976301D"/>
    <w:rsid w:val="397D6F73"/>
    <w:rsid w:val="39802ECC"/>
    <w:rsid w:val="39865E81"/>
    <w:rsid w:val="398A56A9"/>
    <w:rsid w:val="3990522A"/>
    <w:rsid w:val="39926E4B"/>
    <w:rsid w:val="39944C4D"/>
    <w:rsid w:val="399D4F85"/>
    <w:rsid w:val="39AD28F1"/>
    <w:rsid w:val="39B02129"/>
    <w:rsid w:val="39B8558E"/>
    <w:rsid w:val="39BC6F23"/>
    <w:rsid w:val="39BD345B"/>
    <w:rsid w:val="39E139DA"/>
    <w:rsid w:val="39F745F9"/>
    <w:rsid w:val="39FD1B1B"/>
    <w:rsid w:val="3A1320A7"/>
    <w:rsid w:val="3A1530F4"/>
    <w:rsid w:val="3A176B0E"/>
    <w:rsid w:val="3A191CC0"/>
    <w:rsid w:val="3A194BBA"/>
    <w:rsid w:val="3A1A3080"/>
    <w:rsid w:val="3A1C3214"/>
    <w:rsid w:val="3A2B5CE1"/>
    <w:rsid w:val="3A2D2D36"/>
    <w:rsid w:val="3A542EE1"/>
    <w:rsid w:val="3A5C1538"/>
    <w:rsid w:val="3A5D61D4"/>
    <w:rsid w:val="3A66187F"/>
    <w:rsid w:val="3A6F23F7"/>
    <w:rsid w:val="3A761F09"/>
    <w:rsid w:val="3A7E466F"/>
    <w:rsid w:val="3A8A0C83"/>
    <w:rsid w:val="3A904241"/>
    <w:rsid w:val="3A95462C"/>
    <w:rsid w:val="3A977353"/>
    <w:rsid w:val="3AA3573F"/>
    <w:rsid w:val="3AAC48B0"/>
    <w:rsid w:val="3AB51559"/>
    <w:rsid w:val="3AB80274"/>
    <w:rsid w:val="3AD830F7"/>
    <w:rsid w:val="3AD86362"/>
    <w:rsid w:val="3AE801A7"/>
    <w:rsid w:val="3AED182C"/>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46A17"/>
    <w:rsid w:val="3BD820FE"/>
    <w:rsid w:val="3BEA365B"/>
    <w:rsid w:val="3BEB58D7"/>
    <w:rsid w:val="3BEB623F"/>
    <w:rsid w:val="3BF8706E"/>
    <w:rsid w:val="3BF94F40"/>
    <w:rsid w:val="3BFE0325"/>
    <w:rsid w:val="3C022C6A"/>
    <w:rsid w:val="3C0700C2"/>
    <w:rsid w:val="3C19096E"/>
    <w:rsid w:val="3C1957C8"/>
    <w:rsid w:val="3C1C0639"/>
    <w:rsid w:val="3C234DFB"/>
    <w:rsid w:val="3C2E346D"/>
    <w:rsid w:val="3C300658"/>
    <w:rsid w:val="3C346B7B"/>
    <w:rsid w:val="3C3B425B"/>
    <w:rsid w:val="3C3B71BC"/>
    <w:rsid w:val="3C435080"/>
    <w:rsid w:val="3C482649"/>
    <w:rsid w:val="3C543122"/>
    <w:rsid w:val="3C5619EB"/>
    <w:rsid w:val="3C5E73C8"/>
    <w:rsid w:val="3C620A5E"/>
    <w:rsid w:val="3C6541EF"/>
    <w:rsid w:val="3C6C3E08"/>
    <w:rsid w:val="3C6E47E3"/>
    <w:rsid w:val="3C744B26"/>
    <w:rsid w:val="3C816E1B"/>
    <w:rsid w:val="3C831660"/>
    <w:rsid w:val="3C9F3414"/>
    <w:rsid w:val="3CBC4692"/>
    <w:rsid w:val="3CDC4055"/>
    <w:rsid w:val="3CDD5498"/>
    <w:rsid w:val="3CEA0930"/>
    <w:rsid w:val="3CEB1843"/>
    <w:rsid w:val="3CF27B95"/>
    <w:rsid w:val="3CFF5A50"/>
    <w:rsid w:val="3D054D0E"/>
    <w:rsid w:val="3D066B35"/>
    <w:rsid w:val="3D106EB6"/>
    <w:rsid w:val="3D144089"/>
    <w:rsid w:val="3D1C0B24"/>
    <w:rsid w:val="3D3C210D"/>
    <w:rsid w:val="3D56127A"/>
    <w:rsid w:val="3D575AE9"/>
    <w:rsid w:val="3D5A3B41"/>
    <w:rsid w:val="3D5F5D82"/>
    <w:rsid w:val="3D60278F"/>
    <w:rsid w:val="3D6636D8"/>
    <w:rsid w:val="3D676FE6"/>
    <w:rsid w:val="3D6F4D23"/>
    <w:rsid w:val="3D7D68E8"/>
    <w:rsid w:val="3D816473"/>
    <w:rsid w:val="3D8309F7"/>
    <w:rsid w:val="3D8A2AEC"/>
    <w:rsid w:val="3D924D76"/>
    <w:rsid w:val="3D936176"/>
    <w:rsid w:val="3DA605F1"/>
    <w:rsid w:val="3DB4187D"/>
    <w:rsid w:val="3DB624D6"/>
    <w:rsid w:val="3DC96A91"/>
    <w:rsid w:val="3DCE4212"/>
    <w:rsid w:val="3DE50A71"/>
    <w:rsid w:val="3DF15DDC"/>
    <w:rsid w:val="3DF43ED5"/>
    <w:rsid w:val="3E0B107A"/>
    <w:rsid w:val="3E1D3429"/>
    <w:rsid w:val="3E297137"/>
    <w:rsid w:val="3E365B88"/>
    <w:rsid w:val="3E4B5902"/>
    <w:rsid w:val="3E5E47FF"/>
    <w:rsid w:val="3E620DC8"/>
    <w:rsid w:val="3E650593"/>
    <w:rsid w:val="3E684068"/>
    <w:rsid w:val="3E7F51AE"/>
    <w:rsid w:val="3E895706"/>
    <w:rsid w:val="3E9111B3"/>
    <w:rsid w:val="3EA9033A"/>
    <w:rsid w:val="3EAF72E4"/>
    <w:rsid w:val="3EB3388D"/>
    <w:rsid w:val="3EDD4864"/>
    <w:rsid w:val="3F075FB1"/>
    <w:rsid w:val="3F102D50"/>
    <w:rsid w:val="3F1B13EE"/>
    <w:rsid w:val="3F21691D"/>
    <w:rsid w:val="3F227F5D"/>
    <w:rsid w:val="3F257466"/>
    <w:rsid w:val="3F26543B"/>
    <w:rsid w:val="3F2F5A8C"/>
    <w:rsid w:val="3F337273"/>
    <w:rsid w:val="3F386A83"/>
    <w:rsid w:val="3F412DEC"/>
    <w:rsid w:val="3F425D2C"/>
    <w:rsid w:val="3F5B19BB"/>
    <w:rsid w:val="3F5E64B5"/>
    <w:rsid w:val="3F674097"/>
    <w:rsid w:val="3F6B0F2F"/>
    <w:rsid w:val="3F6E7226"/>
    <w:rsid w:val="3F722D47"/>
    <w:rsid w:val="3F7418AC"/>
    <w:rsid w:val="3F7B467C"/>
    <w:rsid w:val="3F7F4BFD"/>
    <w:rsid w:val="3F8534F2"/>
    <w:rsid w:val="3F866098"/>
    <w:rsid w:val="3F8D44E0"/>
    <w:rsid w:val="3F8D6CDE"/>
    <w:rsid w:val="3F9C3E7C"/>
    <w:rsid w:val="3FB14323"/>
    <w:rsid w:val="3FBE27AD"/>
    <w:rsid w:val="3FEB0F5D"/>
    <w:rsid w:val="3FED37A2"/>
    <w:rsid w:val="3FF76865"/>
    <w:rsid w:val="40091C0E"/>
    <w:rsid w:val="40097753"/>
    <w:rsid w:val="400A538D"/>
    <w:rsid w:val="401041CC"/>
    <w:rsid w:val="401C0644"/>
    <w:rsid w:val="40385090"/>
    <w:rsid w:val="403D4075"/>
    <w:rsid w:val="40581609"/>
    <w:rsid w:val="406218B7"/>
    <w:rsid w:val="4062552B"/>
    <w:rsid w:val="40762F0A"/>
    <w:rsid w:val="40765E8A"/>
    <w:rsid w:val="407E641B"/>
    <w:rsid w:val="40820FEC"/>
    <w:rsid w:val="40825976"/>
    <w:rsid w:val="4084632A"/>
    <w:rsid w:val="40BF104F"/>
    <w:rsid w:val="40C348C4"/>
    <w:rsid w:val="40C62545"/>
    <w:rsid w:val="40D00C0D"/>
    <w:rsid w:val="40D01ACC"/>
    <w:rsid w:val="40D14D78"/>
    <w:rsid w:val="40D948D4"/>
    <w:rsid w:val="40E11F2D"/>
    <w:rsid w:val="40EC441D"/>
    <w:rsid w:val="40F044C9"/>
    <w:rsid w:val="410E0A00"/>
    <w:rsid w:val="41180D6F"/>
    <w:rsid w:val="41365148"/>
    <w:rsid w:val="41371FE0"/>
    <w:rsid w:val="413F34EE"/>
    <w:rsid w:val="415C087D"/>
    <w:rsid w:val="41745FFF"/>
    <w:rsid w:val="41774FCB"/>
    <w:rsid w:val="41810899"/>
    <w:rsid w:val="4181283B"/>
    <w:rsid w:val="418271DC"/>
    <w:rsid w:val="418421C9"/>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0E1D"/>
    <w:rsid w:val="4209415C"/>
    <w:rsid w:val="420D6792"/>
    <w:rsid w:val="420F6D1D"/>
    <w:rsid w:val="42126EA7"/>
    <w:rsid w:val="4220489C"/>
    <w:rsid w:val="425C5BCE"/>
    <w:rsid w:val="42605FC7"/>
    <w:rsid w:val="427E1411"/>
    <w:rsid w:val="427E1440"/>
    <w:rsid w:val="42904B06"/>
    <w:rsid w:val="42A97915"/>
    <w:rsid w:val="42AF6E21"/>
    <w:rsid w:val="42B61D72"/>
    <w:rsid w:val="42B95478"/>
    <w:rsid w:val="42BC2E3B"/>
    <w:rsid w:val="42C60F3B"/>
    <w:rsid w:val="42D21379"/>
    <w:rsid w:val="42EC5ED5"/>
    <w:rsid w:val="42F35F7E"/>
    <w:rsid w:val="4304205B"/>
    <w:rsid w:val="430E6D0F"/>
    <w:rsid w:val="43204EC9"/>
    <w:rsid w:val="432F1F6C"/>
    <w:rsid w:val="43386CA4"/>
    <w:rsid w:val="433D333A"/>
    <w:rsid w:val="43422211"/>
    <w:rsid w:val="4343018D"/>
    <w:rsid w:val="4348461B"/>
    <w:rsid w:val="434C4375"/>
    <w:rsid w:val="434E3D91"/>
    <w:rsid w:val="43605D67"/>
    <w:rsid w:val="436647E4"/>
    <w:rsid w:val="43675D4E"/>
    <w:rsid w:val="436E31A2"/>
    <w:rsid w:val="436E6A85"/>
    <w:rsid w:val="437C39D2"/>
    <w:rsid w:val="438863EE"/>
    <w:rsid w:val="438B1E5B"/>
    <w:rsid w:val="43A67E9D"/>
    <w:rsid w:val="43A9250C"/>
    <w:rsid w:val="43A94C99"/>
    <w:rsid w:val="43AD047C"/>
    <w:rsid w:val="43B93CA1"/>
    <w:rsid w:val="43C96CC1"/>
    <w:rsid w:val="43D95A5E"/>
    <w:rsid w:val="43DB681A"/>
    <w:rsid w:val="43E66B2A"/>
    <w:rsid w:val="43EF7DF5"/>
    <w:rsid w:val="43F75428"/>
    <w:rsid w:val="44062A2A"/>
    <w:rsid w:val="44064D7F"/>
    <w:rsid w:val="440F21F4"/>
    <w:rsid w:val="442372EF"/>
    <w:rsid w:val="44304DCF"/>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AD58F9"/>
    <w:rsid w:val="44B00AD5"/>
    <w:rsid w:val="44C0317F"/>
    <w:rsid w:val="44C03657"/>
    <w:rsid w:val="44CA33E5"/>
    <w:rsid w:val="44CA44C7"/>
    <w:rsid w:val="44CB2B24"/>
    <w:rsid w:val="44CC6B71"/>
    <w:rsid w:val="44D2188E"/>
    <w:rsid w:val="44DB63C4"/>
    <w:rsid w:val="44E63F80"/>
    <w:rsid w:val="44FF12D4"/>
    <w:rsid w:val="4505615F"/>
    <w:rsid w:val="45183995"/>
    <w:rsid w:val="45195E19"/>
    <w:rsid w:val="451A08D6"/>
    <w:rsid w:val="451A4504"/>
    <w:rsid w:val="45216D6E"/>
    <w:rsid w:val="45444294"/>
    <w:rsid w:val="4549610F"/>
    <w:rsid w:val="454E526B"/>
    <w:rsid w:val="456C66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44685"/>
    <w:rsid w:val="45E83918"/>
    <w:rsid w:val="45F524BA"/>
    <w:rsid w:val="45F85B25"/>
    <w:rsid w:val="45FA5BAF"/>
    <w:rsid w:val="45FD1EC4"/>
    <w:rsid w:val="46010103"/>
    <w:rsid w:val="4606415C"/>
    <w:rsid w:val="460F365D"/>
    <w:rsid w:val="4612589E"/>
    <w:rsid w:val="461B4B88"/>
    <w:rsid w:val="462861D6"/>
    <w:rsid w:val="46393DD0"/>
    <w:rsid w:val="464C33C7"/>
    <w:rsid w:val="46547588"/>
    <w:rsid w:val="46861A2B"/>
    <w:rsid w:val="468D25A7"/>
    <w:rsid w:val="468E7800"/>
    <w:rsid w:val="46935044"/>
    <w:rsid w:val="46A1326E"/>
    <w:rsid w:val="46A2703C"/>
    <w:rsid w:val="46AD29A2"/>
    <w:rsid w:val="46AD7BE3"/>
    <w:rsid w:val="46C07B71"/>
    <w:rsid w:val="46C97019"/>
    <w:rsid w:val="46D11B8F"/>
    <w:rsid w:val="46D202C6"/>
    <w:rsid w:val="46E2491C"/>
    <w:rsid w:val="46E77F48"/>
    <w:rsid w:val="46EA7630"/>
    <w:rsid w:val="46EB4D4C"/>
    <w:rsid w:val="46F0402F"/>
    <w:rsid w:val="46F96F65"/>
    <w:rsid w:val="47005024"/>
    <w:rsid w:val="470401D6"/>
    <w:rsid w:val="470A674E"/>
    <w:rsid w:val="470E2853"/>
    <w:rsid w:val="47155653"/>
    <w:rsid w:val="47522E07"/>
    <w:rsid w:val="47690EAD"/>
    <w:rsid w:val="476A091A"/>
    <w:rsid w:val="476C1FD1"/>
    <w:rsid w:val="477A102B"/>
    <w:rsid w:val="477C3C9F"/>
    <w:rsid w:val="47835FD1"/>
    <w:rsid w:val="47921058"/>
    <w:rsid w:val="47980643"/>
    <w:rsid w:val="479F012A"/>
    <w:rsid w:val="47AC64AE"/>
    <w:rsid w:val="47AE2329"/>
    <w:rsid w:val="47BA20DB"/>
    <w:rsid w:val="47CD4EBC"/>
    <w:rsid w:val="47D34EEE"/>
    <w:rsid w:val="47D67760"/>
    <w:rsid w:val="47DC4C30"/>
    <w:rsid w:val="48002186"/>
    <w:rsid w:val="4813478A"/>
    <w:rsid w:val="4814305E"/>
    <w:rsid w:val="48220C0B"/>
    <w:rsid w:val="48290CA5"/>
    <w:rsid w:val="48330D0B"/>
    <w:rsid w:val="4836637D"/>
    <w:rsid w:val="4844010E"/>
    <w:rsid w:val="484D70C0"/>
    <w:rsid w:val="484F7F37"/>
    <w:rsid w:val="48580FC2"/>
    <w:rsid w:val="48586A3A"/>
    <w:rsid w:val="485D436D"/>
    <w:rsid w:val="48620B89"/>
    <w:rsid w:val="48661300"/>
    <w:rsid w:val="4866681E"/>
    <w:rsid w:val="486674A3"/>
    <w:rsid w:val="486D67CD"/>
    <w:rsid w:val="486D7B00"/>
    <w:rsid w:val="48803A0C"/>
    <w:rsid w:val="48834488"/>
    <w:rsid w:val="48874444"/>
    <w:rsid w:val="488E7F90"/>
    <w:rsid w:val="48931C83"/>
    <w:rsid w:val="48951164"/>
    <w:rsid w:val="4896216F"/>
    <w:rsid w:val="48963AE2"/>
    <w:rsid w:val="48A34403"/>
    <w:rsid w:val="48B61005"/>
    <w:rsid w:val="48B629D0"/>
    <w:rsid w:val="48B65743"/>
    <w:rsid w:val="48B97EB1"/>
    <w:rsid w:val="48C87C34"/>
    <w:rsid w:val="48D045E3"/>
    <w:rsid w:val="48D16CA0"/>
    <w:rsid w:val="48D5717B"/>
    <w:rsid w:val="48D872F2"/>
    <w:rsid w:val="48DD7098"/>
    <w:rsid w:val="48E14356"/>
    <w:rsid w:val="48E41E4A"/>
    <w:rsid w:val="48E65A8C"/>
    <w:rsid w:val="48E873E2"/>
    <w:rsid w:val="48EB3D0A"/>
    <w:rsid w:val="48EB46B7"/>
    <w:rsid w:val="48EB5F33"/>
    <w:rsid w:val="48EC0DCC"/>
    <w:rsid w:val="48ED21B1"/>
    <w:rsid w:val="48F56D96"/>
    <w:rsid w:val="48FB5A48"/>
    <w:rsid w:val="490D334D"/>
    <w:rsid w:val="49156D12"/>
    <w:rsid w:val="491E61B4"/>
    <w:rsid w:val="492A3205"/>
    <w:rsid w:val="49341C2B"/>
    <w:rsid w:val="49346CF1"/>
    <w:rsid w:val="493F4B5F"/>
    <w:rsid w:val="494A309B"/>
    <w:rsid w:val="494B3250"/>
    <w:rsid w:val="494C57CF"/>
    <w:rsid w:val="494D16C1"/>
    <w:rsid w:val="494D16F6"/>
    <w:rsid w:val="4959460B"/>
    <w:rsid w:val="497A0E57"/>
    <w:rsid w:val="497D24AA"/>
    <w:rsid w:val="497D66E9"/>
    <w:rsid w:val="49893963"/>
    <w:rsid w:val="49CA7E3C"/>
    <w:rsid w:val="49D9493E"/>
    <w:rsid w:val="49E05DCB"/>
    <w:rsid w:val="49E636A0"/>
    <w:rsid w:val="49F50CB4"/>
    <w:rsid w:val="49FD48CD"/>
    <w:rsid w:val="4A0028F7"/>
    <w:rsid w:val="4A087489"/>
    <w:rsid w:val="4A282621"/>
    <w:rsid w:val="4A2B1F5C"/>
    <w:rsid w:val="4A2B4DC5"/>
    <w:rsid w:val="4A512EBB"/>
    <w:rsid w:val="4A824219"/>
    <w:rsid w:val="4A9713FB"/>
    <w:rsid w:val="4A9947DA"/>
    <w:rsid w:val="4A997593"/>
    <w:rsid w:val="4AB220B5"/>
    <w:rsid w:val="4ABE07D2"/>
    <w:rsid w:val="4AC01BED"/>
    <w:rsid w:val="4AC14754"/>
    <w:rsid w:val="4AC1656E"/>
    <w:rsid w:val="4AC24A28"/>
    <w:rsid w:val="4AC43D62"/>
    <w:rsid w:val="4ACA6106"/>
    <w:rsid w:val="4ACB1D0F"/>
    <w:rsid w:val="4ACD1533"/>
    <w:rsid w:val="4AEE194A"/>
    <w:rsid w:val="4AF55326"/>
    <w:rsid w:val="4AF71C76"/>
    <w:rsid w:val="4B12691B"/>
    <w:rsid w:val="4B143C81"/>
    <w:rsid w:val="4B151831"/>
    <w:rsid w:val="4B2249D6"/>
    <w:rsid w:val="4B330DED"/>
    <w:rsid w:val="4B342BB9"/>
    <w:rsid w:val="4B354361"/>
    <w:rsid w:val="4B3C784A"/>
    <w:rsid w:val="4B447281"/>
    <w:rsid w:val="4B4E6196"/>
    <w:rsid w:val="4B4F5B5C"/>
    <w:rsid w:val="4B5065E5"/>
    <w:rsid w:val="4B592E90"/>
    <w:rsid w:val="4B5F3115"/>
    <w:rsid w:val="4B60501C"/>
    <w:rsid w:val="4B7A6EA5"/>
    <w:rsid w:val="4B8A5383"/>
    <w:rsid w:val="4BA85532"/>
    <w:rsid w:val="4BAB188E"/>
    <w:rsid w:val="4BB340E6"/>
    <w:rsid w:val="4BC004F6"/>
    <w:rsid w:val="4BCD4308"/>
    <w:rsid w:val="4BD732D2"/>
    <w:rsid w:val="4BE43D64"/>
    <w:rsid w:val="4BF5474B"/>
    <w:rsid w:val="4BF859A8"/>
    <w:rsid w:val="4BFD4DB2"/>
    <w:rsid w:val="4C0C70D3"/>
    <w:rsid w:val="4C16576D"/>
    <w:rsid w:val="4C2B4F79"/>
    <w:rsid w:val="4C385A40"/>
    <w:rsid w:val="4C4B3831"/>
    <w:rsid w:val="4C4F46A5"/>
    <w:rsid w:val="4C5A5543"/>
    <w:rsid w:val="4C6A698D"/>
    <w:rsid w:val="4C7E62D9"/>
    <w:rsid w:val="4CA321E7"/>
    <w:rsid w:val="4CB63AA4"/>
    <w:rsid w:val="4CB96134"/>
    <w:rsid w:val="4CBA6BE7"/>
    <w:rsid w:val="4CBB7B02"/>
    <w:rsid w:val="4CBF0FDC"/>
    <w:rsid w:val="4CC45A83"/>
    <w:rsid w:val="4CD00124"/>
    <w:rsid w:val="4CE679D2"/>
    <w:rsid w:val="4CF73AC7"/>
    <w:rsid w:val="4CF850CA"/>
    <w:rsid w:val="4CFB4906"/>
    <w:rsid w:val="4D04433E"/>
    <w:rsid w:val="4D066A1E"/>
    <w:rsid w:val="4D111DEA"/>
    <w:rsid w:val="4D15653E"/>
    <w:rsid w:val="4D1A17B3"/>
    <w:rsid w:val="4D1F2E52"/>
    <w:rsid w:val="4D3044C7"/>
    <w:rsid w:val="4D361251"/>
    <w:rsid w:val="4D44774F"/>
    <w:rsid w:val="4D4B58A5"/>
    <w:rsid w:val="4D627203"/>
    <w:rsid w:val="4D66006E"/>
    <w:rsid w:val="4D6C3B9E"/>
    <w:rsid w:val="4D6F7611"/>
    <w:rsid w:val="4D74242D"/>
    <w:rsid w:val="4D8674BE"/>
    <w:rsid w:val="4D89154E"/>
    <w:rsid w:val="4D8B066E"/>
    <w:rsid w:val="4D9C209F"/>
    <w:rsid w:val="4DA06A38"/>
    <w:rsid w:val="4DA37C51"/>
    <w:rsid w:val="4DAF401E"/>
    <w:rsid w:val="4DB30E53"/>
    <w:rsid w:val="4DB33EED"/>
    <w:rsid w:val="4DC3357A"/>
    <w:rsid w:val="4DD806AE"/>
    <w:rsid w:val="4DE43F03"/>
    <w:rsid w:val="4DEB5692"/>
    <w:rsid w:val="4DF17B7F"/>
    <w:rsid w:val="4DF62A72"/>
    <w:rsid w:val="4DF71177"/>
    <w:rsid w:val="4E015F8B"/>
    <w:rsid w:val="4E0A7662"/>
    <w:rsid w:val="4E0B1731"/>
    <w:rsid w:val="4E15259A"/>
    <w:rsid w:val="4E163912"/>
    <w:rsid w:val="4E192019"/>
    <w:rsid w:val="4E1C4AEB"/>
    <w:rsid w:val="4E283BF9"/>
    <w:rsid w:val="4E2F0A69"/>
    <w:rsid w:val="4E3F2E3C"/>
    <w:rsid w:val="4E4D1D53"/>
    <w:rsid w:val="4E5D1F66"/>
    <w:rsid w:val="4E6A46CC"/>
    <w:rsid w:val="4E722FB7"/>
    <w:rsid w:val="4E7A2E8A"/>
    <w:rsid w:val="4E9373C0"/>
    <w:rsid w:val="4E9F3710"/>
    <w:rsid w:val="4EA6083B"/>
    <w:rsid w:val="4EAB62F0"/>
    <w:rsid w:val="4EBB6FFE"/>
    <w:rsid w:val="4EC56069"/>
    <w:rsid w:val="4ECB5EDE"/>
    <w:rsid w:val="4ED75DAE"/>
    <w:rsid w:val="4EE105D0"/>
    <w:rsid w:val="4EE7009D"/>
    <w:rsid w:val="4EFA5D6D"/>
    <w:rsid w:val="4EFB4E8F"/>
    <w:rsid w:val="4F074A59"/>
    <w:rsid w:val="4F08177C"/>
    <w:rsid w:val="4F0839B5"/>
    <w:rsid w:val="4F092C81"/>
    <w:rsid w:val="4F0D4F13"/>
    <w:rsid w:val="4F0F1364"/>
    <w:rsid w:val="4F191F1A"/>
    <w:rsid w:val="4F1C5302"/>
    <w:rsid w:val="4F2C1A89"/>
    <w:rsid w:val="4F2D09CA"/>
    <w:rsid w:val="4F2F54B5"/>
    <w:rsid w:val="4F386432"/>
    <w:rsid w:val="4F3D05DF"/>
    <w:rsid w:val="4F3F4604"/>
    <w:rsid w:val="4F445653"/>
    <w:rsid w:val="4F4F0440"/>
    <w:rsid w:val="4F537A4C"/>
    <w:rsid w:val="4F5D0CE7"/>
    <w:rsid w:val="4F5F1378"/>
    <w:rsid w:val="4F632DB7"/>
    <w:rsid w:val="4F6828F3"/>
    <w:rsid w:val="4F745890"/>
    <w:rsid w:val="4F7702EF"/>
    <w:rsid w:val="4F7B55C1"/>
    <w:rsid w:val="4F7B6C2F"/>
    <w:rsid w:val="4F882033"/>
    <w:rsid w:val="4F967CF0"/>
    <w:rsid w:val="4FB140AE"/>
    <w:rsid w:val="4FB76356"/>
    <w:rsid w:val="4FBB7FFC"/>
    <w:rsid w:val="4FCC1960"/>
    <w:rsid w:val="4FD405AC"/>
    <w:rsid w:val="4FE32B2F"/>
    <w:rsid w:val="4FEA2E06"/>
    <w:rsid w:val="4FEF5594"/>
    <w:rsid w:val="4FF52742"/>
    <w:rsid w:val="4FF6565E"/>
    <w:rsid w:val="500A2552"/>
    <w:rsid w:val="500C55E9"/>
    <w:rsid w:val="50131C60"/>
    <w:rsid w:val="501723E6"/>
    <w:rsid w:val="501D6123"/>
    <w:rsid w:val="50296286"/>
    <w:rsid w:val="502D02A0"/>
    <w:rsid w:val="502F437B"/>
    <w:rsid w:val="50396587"/>
    <w:rsid w:val="503B1382"/>
    <w:rsid w:val="50486E0E"/>
    <w:rsid w:val="506F36AA"/>
    <w:rsid w:val="5075104B"/>
    <w:rsid w:val="5075687D"/>
    <w:rsid w:val="507852DF"/>
    <w:rsid w:val="50866AC3"/>
    <w:rsid w:val="508A07B8"/>
    <w:rsid w:val="50900126"/>
    <w:rsid w:val="50980B0B"/>
    <w:rsid w:val="509C1C73"/>
    <w:rsid w:val="509C7C29"/>
    <w:rsid w:val="50A2127B"/>
    <w:rsid w:val="50A32FC8"/>
    <w:rsid w:val="50A76C88"/>
    <w:rsid w:val="50B614C2"/>
    <w:rsid w:val="50C34225"/>
    <w:rsid w:val="50C74476"/>
    <w:rsid w:val="50E0038F"/>
    <w:rsid w:val="50E41082"/>
    <w:rsid w:val="50EF4645"/>
    <w:rsid w:val="50F14C04"/>
    <w:rsid w:val="50F66EF4"/>
    <w:rsid w:val="50F96C4E"/>
    <w:rsid w:val="50FA20DD"/>
    <w:rsid w:val="50FA2CE9"/>
    <w:rsid w:val="5104147F"/>
    <w:rsid w:val="51075C61"/>
    <w:rsid w:val="511835E5"/>
    <w:rsid w:val="511E1CC8"/>
    <w:rsid w:val="51233865"/>
    <w:rsid w:val="51240121"/>
    <w:rsid w:val="51282BDC"/>
    <w:rsid w:val="51293D18"/>
    <w:rsid w:val="512C327D"/>
    <w:rsid w:val="513476DA"/>
    <w:rsid w:val="514329D6"/>
    <w:rsid w:val="51663591"/>
    <w:rsid w:val="5174417A"/>
    <w:rsid w:val="517B0723"/>
    <w:rsid w:val="518D3959"/>
    <w:rsid w:val="51904C47"/>
    <w:rsid w:val="51A5718F"/>
    <w:rsid w:val="51AA5EE3"/>
    <w:rsid w:val="51AC042E"/>
    <w:rsid w:val="51AE2C09"/>
    <w:rsid w:val="51B2002A"/>
    <w:rsid w:val="51B4034E"/>
    <w:rsid w:val="51B67C18"/>
    <w:rsid w:val="51BB2F03"/>
    <w:rsid w:val="51C16B27"/>
    <w:rsid w:val="51DD07C4"/>
    <w:rsid w:val="51DF5E42"/>
    <w:rsid w:val="51E92702"/>
    <w:rsid w:val="51EA5164"/>
    <w:rsid w:val="51EE1CAB"/>
    <w:rsid w:val="51EE1CAE"/>
    <w:rsid w:val="51EF7CE3"/>
    <w:rsid w:val="52056978"/>
    <w:rsid w:val="520D1F5C"/>
    <w:rsid w:val="52111795"/>
    <w:rsid w:val="52186D18"/>
    <w:rsid w:val="521B0709"/>
    <w:rsid w:val="521F5463"/>
    <w:rsid w:val="522C3822"/>
    <w:rsid w:val="52302010"/>
    <w:rsid w:val="52303B2F"/>
    <w:rsid w:val="52307B26"/>
    <w:rsid w:val="523503EF"/>
    <w:rsid w:val="523A7964"/>
    <w:rsid w:val="523B5943"/>
    <w:rsid w:val="524563D8"/>
    <w:rsid w:val="524B64AA"/>
    <w:rsid w:val="52502DC9"/>
    <w:rsid w:val="52547186"/>
    <w:rsid w:val="52605D7B"/>
    <w:rsid w:val="526B2DEC"/>
    <w:rsid w:val="526B5EEE"/>
    <w:rsid w:val="527D67A7"/>
    <w:rsid w:val="529C36FF"/>
    <w:rsid w:val="529C775D"/>
    <w:rsid w:val="52AF3F38"/>
    <w:rsid w:val="52B33948"/>
    <w:rsid w:val="52B55367"/>
    <w:rsid w:val="52C93BBE"/>
    <w:rsid w:val="52D05D9C"/>
    <w:rsid w:val="52DF5A77"/>
    <w:rsid w:val="52E2402D"/>
    <w:rsid w:val="52FC7BBE"/>
    <w:rsid w:val="530715FB"/>
    <w:rsid w:val="5315780A"/>
    <w:rsid w:val="53297E57"/>
    <w:rsid w:val="5330710D"/>
    <w:rsid w:val="533F38E7"/>
    <w:rsid w:val="53420089"/>
    <w:rsid w:val="534C79BB"/>
    <w:rsid w:val="53590193"/>
    <w:rsid w:val="535D1AC0"/>
    <w:rsid w:val="537525D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6"/>
    <w:rsid w:val="53E355BF"/>
    <w:rsid w:val="53E8282F"/>
    <w:rsid w:val="53E857A6"/>
    <w:rsid w:val="53F86054"/>
    <w:rsid w:val="53FE7F0D"/>
    <w:rsid w:val="54084368"/>
    <w:rsid w:val="540E3ABB"/>
    <w:rsid w:val="54174D5D"/>
    <w:rsid w:val="541762D8"/>
    <w:rsid w:val="5424499E"/>
    <w:rsid w:val="54342FED"/>
    <w:rsid w:val="543B76CE"/>
    <w:rsid w:val="54441F03"/>
    <w:rsid w:val="544A636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B965E5"/>
    <w:rsid w:val="54E462F6"/>
    <w:rsid w:val="54F54AD8"/>
    <w:rsid w:val="550078CF"/>
    <w:rsid w:val="550875D8"/>
    <w:rsid w:val="550C5474"/>
    <w:rsid w:val="55100448"/>
    <w:rsid w:val="55201E14"/>
    <w:rsid w:val="55230BAB"/>
    <w:rsid w:val="55294FFC"/>
    <w:rsid w:val="552C5FEB"/>
    <w:rsid w:val="553B448E"/>
    <w:rsid w:val="553D1974"/>
    <w:rsid w:val="554057BF"/>
    <w:rsid w:val="554376C8"/>
    <w:rsid w:val="554878C6"/>
    <w:rsid w:val="554B2788"/>
    <w:rsid w:val="554E0A19"/>
    <w:rsid w:val="554F0D7B"/>
    <w:rsid w:val="5552265F"/>
    <w:rsid w:val="55564942"/>
    <w:rsid w:val="55605D8B"/>
    <w:rsid w:val="55656CD2"/>
    <w:rsid w:val="556A2415"/>
    <w:rsid w:val="557263B3"/>
    <w:rsid w:val="5575623A"/>
    <w:rsid w:val="55784D6B"/>
    <w:rsid w:val="55792873"/>
    <w:rsid w:val="557A3FBC"/>
    <w:rsid w:val="557A685E"/>
    <w:rsid w:val="55812DCB"/>
    <w:rsid w:val="55820B59"/>
    <w:rsid w:val="5582442D"/>
    <w:rsid w:val="558A79AF"/>
    <w:rsid w:val="558D6B82"/>
    <w:rsid w:val="559108E9"/>
    <w:rsid w:val="55943888"/>
    <w:rsid w:val="55967F15"/>
    <w:rsid w:val="559F786F"/>
    <w:rsid w:val="55A3628E"/>
    <w:rsid w:val="55A9784C"/>
    <w:rsid w:val="55AA03B5"/>
    <w:rsid w:val="55AC794C"/>
    <w:rsid w:val="55AD28F4"/>
    <w:rsid w:val="55AE5163"/>
    <w:rsid w:val="55B62F64"/>
    <w:rsid w:val="55BD4F0C"/>
    <w:rsid w:val="55D01BC1"/>
    <w:rsid w:val="55D52C8E"/>
    <w:rsid w:val="55DF7E1D"/>
    <w:rsid w:val="55E32F66"/>
    <w:rsid w:val="55FA150B"/>
    <w:rsid w:val="55FF3C96"/>
    <w:rsid w:val="560010ED"/>
    <w:rsid w:val="560A1E7A"/>
    <w:rsid w:val="560C20A5"/>
    <w:rsid w:val="562C2FA6"/>
    <w:rsid w:val="562E13B9"/>
    <w:rsid w:val="56312196"/>
    <w:rsid w:val="56353E08"/>
    <w:rsid w:val="56362C3B"/>
    <w:rsid w:val="56366612"/>
    <w:rsid w:val="564B4F61"/>
    <w:rsid w:val="564C6A6F"/>
    <w:rsid w:val="56506BA6"/>
    <w:rsid w:val="565D32EE"/>
    <w:rsid w:val="56665989"/>
    <w:rsid w:val="56672097"/>
    <w:rsid w:val="56682B4C"/>
    <w:rsid w:val="5668633D"/>
    <w:rsid w:val="566D65BC"/>
    <w:rsid w:val="56707213"/>
    <w:rsid w:val="5677517B"/>
    <w:rsid w:val="567C1622"/>
    <w:rsid w:val="56882964"/>
    <w:rsid w:val="568E5C2E"/>
    <w:rsid w:val="56946918"/>
    <w:rsid w:val="569D0DCD"/>
    <w:rsid w:val="56A05E75"/>
    <w:rsid w:val="56BD4880"/>
    <w:rsid w:val="56BF385F"/>
    <w:rsid w:val="56C210AA"/>
    <w:rsid w:val="56D13A0A"/>
    <w:rsid w:val="56D20120"/>
    <w:rsid w:val="56D20AA8"/>
    <w:rsid w:val="56D405CC"/>
    <w:rsid w:val="56D57F50"/>
    <w:rsid w:val="56E06ED2"/>
    <w:rsid w:val="56E65453"/>
    <w:rsid w:val="56E83278"/>
    <w:rsid w:val="56EC6164"/>
    <w:rsid w:val="57023C45"/>
    <w:rsid w:val="57110C6D"/>
    <w:rsid w:val="5713500C"/>
    <w:rsid w:val="5720074D"/>
    <w:rsid w:val="57243036"/>
    <w:rsid w:val="57256BEE"/>
    <w:rsid w:val="57257327"/>
    <w:rsid w:val="572D466B"/>
    <w:rsid w:val="573336BE"/>
    <w:rsid w:val="573A73EA"/>
    <w:rsid w:val="573B06C9"/>
    <w:rsid w:val="5743739F"/>
    <w:rsid w:val="574D7BB7"/>
    <w:rsid w:val="575D3CB3"/>
    <w:rsid w:val="576D070C"/>
    <w:rsid w:val="577B6220"/>
    <w:rsid w:val="577C648F"/>
    <w:rsid w:val="578042DA"/>
    <w:rsid w:val="579E3D52"/>
    <w:rsid w:val="57A90039"/>
    <w:rsid w:val="57B27112"/>
    <w:rsid w:val="57B738E0"/>
    <w:rsid w:val="57B90017"/>
    <w:rsid w:val="57BA6D33"/>
    <w:rsid w:val="57BC7E22"/>
    <w:rsid w:val="57C80109"/>
    <w:rsid w:val="57CA6B58"/>
    <w:rsid w:val="57CA7549"/>
    <w:rsid w:val="57CD0996"/>
    <w:rsid w:val="57D3757D"/>
    <w:rsid w:val="57DD4CF2"/>
    <w:rsid w:val="57E85B07"/>
    <w:rsid w:val="57FA4253"/>
    <w:rsid w:val="57FF37AB"/>
    <w:rsid w:val="580B2FC3"/>
    <w:rsid w:val="581663A7"/>
    <w:rsid w:val="5824647D"/>
    <w:rsid w:val="5826612F"/>
    <w:rsid w:val="582A56E5"/>
    <w:rsid w:val="583339EA"/>
    <w:rsid w:val="58415B46"/>
    <w:rsid w:val="5847410F"/>
    <w:rsid w:val="584E4808"/>
    <w:rsid w:val="585144AA"/>
    <w:rsid w:val="58567D64"/>
    <w:rsid w:val="58651B4D"/>
    <w:rsid w:val="586578BF"/>
    <w:rsid w:val="58730A21"/>
    <w:rsid w:val="587A70C6"/>
    <w:rsid w:val="588D7EB4"/>
    <w:rsid w:val="589947D3"/>
    <w:rsid w:val="58A338C2"/>
    <w:rsid w:val="58A75020"/>
    <w:rsid w:val="58BA3264"/>
    <w:rsid w:val="58C0349D"/>
    <w:rsid w:val="58C94687"/>
    <w:rsid w:val="58DE49F6"/>
    <w:rsid w:val="58E50BA6"/>
    <w:rsid w:val="58F7247A"/>
    <w:rsid w:val="5902723E"/>
    <w:rsid w:val="590413BD"/>
    <w:rsid w:val="5919795C"/>
    <w:rsid w:val="59232537"/>
    <w:rsid w:val="592F245D"/>
    <w:rsid w:val="593D3B58"/>
    <w:rsid w:val="59440619"/>
    <w:rsid w:val="594720D1"/>
    <w:rsid w:val="594C7A7A"/>
    <w:rsid w:val="5951496F"/>
    <w:rsid w:val="59570C35"/>
    <w:rsid w:val="596326A9"/>
    <w:rsid w:val="59700257"/>
    <w:rsid w:val="59724E0E"/>
    <w:rsid w:val="597252E0"/>
    <w:rsid w:val="597518E5"/>
    <w:rsid w:val="597D3815"/>
    <w:rsid w:val="597E59B3"/>
    <w:rsid w:val="59830A4E"/>
    <w:rsid w:val="598F16C1"/>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6AEA"/>
    <w:rsid w:val="5A1F739C"/>
    <w:rsid w:val="5A20482B"/>
    <w:rsid w:val="5A2520FD"/>
    <w:rsid w:val="5A297734"/>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B0F55"/>
    <w:rsid w:val="5AAE1E87"/>
    <w:rsid w:val="5AC2048D"/>
    <w:rsid w:val="5ACC337C"/>
    <w:rsid w:val="5ACF442D"/>
    <w:rsid w:val="5AD87740"/>
    <w:rsid w:val="5ADB4B04"/>
    <w:rsid w:val="5AE67D49"/>
    <w:rsid w:val="5AEC2ADA"/>
    <w:rsid w:val="5AED24DD"/>
    <w:rsid w:val="5AEE4895"/>
    <w:rsid w:val="5AF2382A"/>
    <w:rsid w:val="5AF24671"/>
    <w:rsid w:val="5AF43314"/>
    <w:rsid w:val="5B0604A3"/>
    <w:rsid w:val="5B1223E2"/>
    <w:rsid w:val="5B162801"/>
    <w:rsid w:val="5B247BFB"/>
    <w:rsid w:val="5B267026"/>
    <w:rsid w:val="5B344D84"/>
    <w:rsid w:val="5B3A1957"/>
    <w:rsid w:val="5B4B65B6"/>
    <w:rsid w:val="5B565B4F"/>
    <w:rsid w:val="5B585CC5"/>
    <w:rsid w:val="5B5911EA"/>
    <w:rsid w:val="5B5B6C7F"/>
    <w:rsid w:val="5B5F167F"/>
    <w:rsid w:val="5B73596C"/>
    <w:rsid w:val="5B883628"/>
    <w:rsid w:val="5B8E3166"/>
    <w:rsid w:val="5B903475"/>
    <w:rsid w:val="5B982E7E"/>
    <w:rsid w:val="5B9B660C"/>
    <w:rsid w:val="5BD1505A"/>
    <w:rsid w:val="5BD92BA9"/>
    <w:rsid w:val="5BDD29C3"/>
    <w:rsid w:val="5BDE6F14"/>
    <w:rsid w:val="5BEB24FD"/>
    <w:rsid w:val="5BF77212"/>
    <w:rsid w:val="5C010491"/>
    <w:rsid w:val="5C0C42E8"/>
    <w:rsid w:val="5C1202F0"/>
    <w:rsid w:val="5C15137F"/>
    <w:rsid w:val="5C17089D"/>
    <w:rsid w:val="5C18679F"/>
    <w:rsid w:val="5C1E0DBA"/>
    <w:rsid w:val="5C1E4833"/>
    <w:rsid w:val="5C3768BF"/>
    <w:rsid w:val="5C3B3289"/>
    <w:rsid w:val="5C4A6360"/>
    <w:rsid w:val="5C5B39D0"/>
    <w:rsid w:val="5C646D40"/>
    <w:rsid w:val="5C752E46"/>
    <w:rsid w:val="5C784ED3"/>
    <w:rsid w:val="5C7D4D78"/>
    <w:rsid w:val="5C8046F6"/>
    <w:rsid w:val="5C812DA3"/>
    <w:rsid w:val="5C81304B"/>
    <w:rsid w:val="5C851DC2"/>
    <w:rsid w:val="5C8A6D14"/>
    <w:rsid w:val="5C916F38"/>
    <w:rsid w:val="5CA52F08"/>
    <w:rsid w:val="5CA55250"/>
    <w:rsid w:val="5CB54A10"/>
    <w:rsid w:val="5CB7487F"/>
    <w:rsid w:val="5CBA2E24"/>
    <w:rsid w:val="5CBE4851"/>
    <w:rsid w:val="5CBF7942"/>
    <w:rsid w:val="5CD80A4C"/>
    <w:rsid w:val="5CEA50E0"/>
    <w:rsid w:val="5CF22A1A"/>
    <w:rsid w:val="5CF3304A"/>
    <w:rsid w:val="5CF674F8"/>
    <w:rsid w:val="5CF97C9E"/>
    <w:rsid w:val="5D0608BF"/>
    <w:rsid w:val="5D0C1414"/>
    <w:rsid w:val="5D147912"/>
    <w:rsid w:val="5D1A687B"/>
    <w:rsid w:val="5D264FF5"/>
    <w:rsid w:val="5D27538E"/>
    <w:rsid w:val="5D2A7616"/>
    <w:rsid w:val="5D60610D"/>
    <w:rsid w:val="5D677934"/>
    <w:rsid w:val="5D6C196C"/>
    <w:rsid w:val="5D701A55"/>
    <w:rsid w:val="5D747EB4"/>
    <w:rsid w:val="5D760E05"/>
    <w:rsid w:val="5D800E7C"/>
    <w:rsid w:val="5D827F51"/>
    <w:rsid w:val="5D862A93"/>
    <w:rsid w:val="5D867492"/>
    <w:rsid w:val="5D8F3E02"/>
    <w:rsid w:val="5D9126BE"/>
    <w:rsid w:val="5DAD66F9"/>
    <w:rsid w:val="5DAF334A"/>
    <w:rsid w:val="5DB40934"/>
    <w:rsid w:val="5DB95864"/>
    <w:rsid w:val="5DBD73CF"/>
    <w:rsid w:val="5DCE03FF"/>
    <w:rsid w:val="5DD07EF8"/>
    <w:rsid w:val="5DD15393"/>
    <w:rsid w:val="5DD67626"/>
    <w:rsid w:val="5DDB312E"/>
    <w:rsid w:val="5DE93770"/>
    <w:rsid w:val="5DED24EE"/>
    <w:rsid w:val="5E087EA2"/>
    <w:rsid w:val="5E0D67C6"/>
    <w:rsid w:val="5E2775CA"/>
    <w:rsid w:val="5E294315"/>
    <w:rsid w:val="5E295856"/>
    <w:rsid w:val="5E2D3328"/>
    <w:rsid w:val="5E330F25"/>
    <w:rsid w:val="5E35132D"/>
    <w:rsid w:val="5E49038C"/>
    <w:rsid w:val="5E4A1687"/>
    <w:rsid w:val="5E4E124A"/>
    <w:rsid w:val="5E591E30"/>
    <w:rsid w:val="5E6E0EC2"/>
    <w:rsid w:val="5E6E2F82"/>
    <w:rsid w:val="5E785870"/>
    <w:rsid w:val="5E841F6A"/>
    <w:rsid w:val="5E860060"/>
    <w:rsid w:val="5E8732C3"/>
    <w:rsid w:val="5EA5785A"/>
    <w:rsid w:val="5EB0331F"/>
    <w:rsid w:val="5EB75779"/>
    <w:rsid w:val="5EC030D5"/>
    <w:rsid w:val="5EC824A5"/>
    <w:rsid w:val="5ECD663E"/>
    <w:rsid w:val="5ED358B4"/>
    <w:rsid w:val="5ED744EA"/>
    <w:rsid w:val="5EDC1150"/>
    <w:rsid w:val="5EE24C8F"/>
    <w:rsid w:val="5EE509E9"/>
    <w:rsid w:val="5EF068A7"/>
    <w:rsid w:val="5EF23736"/>
    <w:rsid w:val="5F054905"/>
    <w:rsid w:val="5F127126"/>
    <w:rsid w:val="5F133281"/>
    <w:rsid w:val="5F1571B0"/>
    <w:rsid w:val="5F163472"/>
    <w:rsid w:val="5F196D78"/>
    <w:rsid w:val="5F1E52A3"/>
    <w:rsid w:val="5F221B23"/>
    <w:rsid w:val="5F2B03F6"/>
    <w:rsid w:val="5F357F56"/>
    <w:rsid w:val="5F3A76EB"/>
    <w:rsid w:val="5F407373"/>
    <w:rsid w:val="5F437782"/>
    <w:rsid w:val="5F462070"/>
    <w:rsid w:val="5F494C21"/>
    <w:rsid w:val="5F4C1967"/>
    <w:rsid w:val="5F4C40F2"/>
    <w:rsid w:val="5F5300C7"/>
    <w:rsid w:val="5F675362"/>
    <w:rsid w:val="5F6C5A55"/>
    <w:rsid w:val="5F76465B"/>
    <w:rsid w:val="5F7E19A1"/>
    <w:rsid w:val="5F873C68"/>
    <w:rsid w:val="5F881135"/>
    <w:rsid w:val="5F8D0E05"/>
    <w:rsid w:val="5F991BCB"/>
    <w:rsid w:val="5FBF59B7"/>
    <w:rsid w:val="5FD21CA0"/>
    <w:rsid w:val="5FD81733"/>
    <w:rsid w:val="5FDE2E8C"/>
    <w:rsid w:val="5FE32071"/>
    <w:rsid w:val="5FED15CB"/>
    <w:rsid w:val="600536C9"/>
    <w:rsid w:val="600B3F28"/>
    <w:rsid w:val="600B6F9E"/>
    <w:rsid w:val="600F0E40"/>
    <w:rsid w:val="60116D2F"/>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E83E9A"/>
    <w:rsid w:val="60EE2491"/>
    <w:rsid w:val="60FA79C1"/>
    <w:rsid w:val="61164D5D"/>
    <w:rsid w:val="6117553F"/>
    <w:rsid w:val="611F628F"/>
    <w:rsid w:val="61213386"/>
    <w:rsid w:val="612A5441"/>
    <w:rsid w:val="612D4D44"/>
    <w:rsid w:val="61362C68"/>
    <w:rsid w:val="613971FF"/>
    <w:rsid w:val="613A4317"/>
    <w:rsid w:val="613A49B3"/>
    <w:rsid w:val="613C7AC2"/>
    <w:rsid w:val="613F7BA1"/>
    <w:rsid w:val="61430D98"/>
    <w:rsid w:val="61437A39"/>
    <w:rsid w:val="6152509D"/>
    <w:rsid w:val="615A6011"/>
    <w:rsid w:val="61624B79"/>
    <w:rsid w:val="617504E6"/>
    <w:rsid w:val="617812D0"/>
    <w:rsid w:val="61797EA7"/>
    <w:rsid w:val="618B5C3B"/>
    <w:rsid w:val="6194428A"/>
    <w:rsid w:val="61A20BAF"/>
    <w:rsid w:val="61A8370C"/>
    <w:rsid w:val="61AC7C3E"/>
    <w:rsid w:val="61B413CE"/>
    <w:rsid w:val="61C544D0"/>
    <w:rsid w:val="61C557FB"/>
    <w:rsid w:val="61C7429B"/>
    <w:rsid w:val="61CA71FC"/>
    <w:rsid w:val="61D12A7D"/>
    <w:rsid w:val="61DD6C29"/>
    <w:rsid w:val="61DD7269"/>
    <w:rsid w:val="61DE687D"/>
    <w:rsid w:val="61F26A42"/>
    <w:rsid w:val="61FE441C"/>
    <w:rsid w:val="61FF4DC1"/>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6143A"/>
    <w:rsid w:val="63171A8A"/>
    <w:rsid w:val="63191FA4"/>
    <w:rsid w:val="631955AD"/>
    <w:rsid w:val="631D0B61"/>
    <w:rsid w:val="632A126E"/>
    <w:rsid w:val="632C3FEA"/>
    <w:rsid w:val="63353983"/>
    <w:rsid w:val="633C78BB"/>
    <w:rsid w:val="63425F59"/>
    <w:rsid w:val="634C4408"/>
    <w:rsid w:val="63505013"/>
    <w:rsid w:val="6356637E"/>
    <w:rsid w:val="63567264"/>
    <w:rsid w:val="635B50A6"/>
    <w:rsid w:val="635F3E6C"/>
    <w:rsid w:val="636645FB"/>
    <w:rsid w:val="638036F5"/>
    <w:rsid w:val="638D42C0"/>
    <w:rsid w:val="639E46E4"/>
    <w:rsid w:val="63A3208F"/>
    <w:rsid w:val="63A855E8"/>
    <w:rsid w:val="63A96D74"/>
    <w:rsid w:val="63B0726B"/>
    <w:rsid w:val="63D0326A"/>
    <w:rsid w:val="63D37E25"/>
    <w:rsid w:val="63DB22FB"/>
    <w:rsid w:val="63E64D4E"/>
    <w:rsid w:val="63F97AA8"/>
    <w:rsid w:val="63FA3F48"/>
    <w:rsid w:val="640004A6"/>
    <w:rsid w:val="64074D44"/>
    <w:rsid w:val="64075F2E"/>
    <w:rsid w:val="641369A5"/>
    <w:rsid w:val="64174B6B"/>
    <w:rsid w:val="641B5F92"/>
    <w:rsid w:val="6422650A"/>
    <w:rsid w:val="64235DFF"/>
    <w:rsid w:val="64390D60"/>
    <w:rsid w:val="64394F75"/>
    <w:rsid w:val="643B07D1"/>
    <w:rsid w:val="643F472E"/>
    <w:rsid w:val="644D222A"/>
    <w:rsid w:val="644E07D9"/>
    <w:rsid w:val="645719A3"/>
    <w:rsid w:val="646025F0"/>
    <w:rsid w:val="646356FB"/>
    <w:rsid w:val="64694C1B"/>
    <w:rsid w:val="646A5E54"/>
    <w:rsid w:val="648116BE"/>
    <w:rsid w:val="64841500"/>
    <w:rsid w:val="64975E1D"/>
    <w:rsid w:val="64983E35"/>
    <w:rsid w:val="649B4103"/>
    <w:rsid w:val="649F1E2A"/>
    <w:rsid w:val="64A5588D"/>
    <w:rsid w:val="64A57EA9"/>
    <w:rsid w:val="64BD0DE2"/>
    <w:rsid w:val="64BD3097"/>
    <w:rsid w:val="64DD7201"/>
    <w:rsid w:val="64E21645"/>
    <w:rsid w:val="64E333A8"/>
    <w:rsid w:val="64EA733A"/>
    <w:rsid w:val="64EB1253"/>
    <w:rsid w:val="650906B2"/>
    <w:rsid w:val="650E29E3"/>
    <w:rsid w:val="65156773"/>
    <w:rsid w:val="651725E2"/>
    <w:rsid w:val="651D653F"/>
    <w:rsid w:val="65381046"/>
    <w:rsid w:val="65405E19"/>
    <w:rsid w:val="654D2F79"/>
    <w:rsid w:val="65617866"/>
    <w:rsid w:val="65674578"/>
    <w:rsid w:val="6570194C"/>
    <w:rsid w:val="65741253"/>
    <w:rsid w:val="657933B4"/>
    <w:rsid w:val="657E3746"/>
    <w:rsid w:val="658629E2"/>
    <w:rsid w:val="65886C35"/>
    <w:rsid w:val="65892994"/>
    <w:rsid w:val="65AB624E"/>
    <w:rsid w:val="65AC7D2D"/>
    <w:rsid w:val="65B33A17"/>
    <w:rsid w:val="65C2452A"/>
    <w:rsid w:val="65CB6B2C"/>
    <w:rsid w:val="65CE50BB"/>
    <w:rsid w:val="65D74D65"/>
    <w:rsid w:val="65DC221B"/>
    <w:rsid w:val="65DD4A5C"/>
    <w:rsid w:val="65ED1249"/>
    <w:rsid w:val="65FE6126"/>
    <w:rsid w:val="66026916"/>
    <w:rsid w:val="66162D18"/>
    <w:rsid w:val="66196874"/>
    <w:rsid w:val="66196EAD"/>
    <w:rsid w:val="661D6420"/>
    <w:rsid w:val="66223586"/>
    <w:rsid w:val="66242FDE"/>
    <w:rsid w:val="66322AB5"/>
    <w:rsid w:val="663B0316"/>
    <w:rsid w:val="66410BE9"/>
    <w:rsid w:val="664956ED"/>
    <w:rsid w:val="66647507"/>
    <w:rsid w:val="667075DA"/>
    <w:rsid w:val="667E00F5"/>
    <w:rsid w:val="668652F7"/>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F76FD0"/>
    <w:rsid w:val="66F9395F"/>
    <w:rsid w:val="66FF2DB2"/>
    <w:rsid w:val="67044237"/>
    <w:rsid w:val="670568F1"/>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9B3B82"/>
    <w:rsid w:val="67A70974"/>
    <w:rsid w:val="67AC4122"/>
    <w:rsid w:val="67BC5B96"/>
    <w:rsid w:val="67BF0592"/>
    <w:rsid w:val="67C1272F"/>
    <w:rsid w:val="67C3489F"/>
    <w:rsid w:val="67CF5883"/>
    <w:rsid w:val="67D2542E"/>
    <w:rsid w:val="67D72703"/>
    <w:rsid w:val="67D82FEC"/>
    <w:rsid w:val="67DE25EB"/>
    <w:rsid w:val="67E36CD9"/>
    <w:rsid w:val="67EE4071"/>
    <w:rsid w:val="67F07B78"/>
    <w:rsid w:val="67F4170F"/>
    <w:rsid w:val="67F750D2"/>
    <w:rsid w:val="67FA0A23"/>
    <w:rsid w:val="67FF6FE0"/>
    <w:rsid w:val="68066D59"/>
    <w:rsid w:val="680E4D2C"/>
    <w:rsid w:val="68110C2F"/>
    <w:rsid w:val="68363F74"/>
    <w:rsid w:val="683659CB"/>
    <w:rsid w:val="684B46A6"/>
    <w:rsid w:val="684D303D"/>
    <w:rsid w:val="685A4162"/>
    <w:rsid w:val="68767581"/>
    <w:rsid w:val="68810A52"/>
    <w:rsid w:val="6884668C"/>
    <w:rsid w:val="6888364F"/>
    <w:rsid w:val="689641FE"/>
    <w:rsid w:val="68A3215E"/>
    <w:rsid w:val="68A37D61"/>
    <w:rsid w:val="68B30689"/>
    <w:rsid w:val="68BC7C3A"/>
    <w:rsid w:val="68C07C6D"/>
    <w:rsid w:val="68C24A46"/>
    <w:rsid w:val="68C941A0"/>
    <w:rsid w:val="68EE5FF6"/>
    <w:rsid w:val="68F11B06"/>
    <w:rsid w:val="68F12C0F"/>
    <w:rsid w:val="68F13CC7"/>
    <w:rsid w:val="68F3235D"/>
    <w:rsid w:val="68F62489"/>
    <w:rsid w:val="68F91A46"/>
    <w:rsid w:val="69036D2A"/>
    <w:rsid w:val="69044E32"/>
    <w:rsid w:val="69060615"/>
    <w:rsid w:val="690A435D"/>
    <w:rsid w:val="691F45C8"/>
    <w:rsid w:val="692E19FD"/>
    <w:rsid w:val="6949404D"/>
    <w:rsid w:val="695A62A9"/>
    <w:rsid w:val="696607B4"/>
    <w:rsid w:val="696E4DB1"/>
    <w:rsid w:val="69831A73"/>
    <w:rsid w:val="69833B52"/>
    <w:rsid w:val="69840A36"/>
    <w:rsid w:val="698C6058"/>
    <w:rsid w:val="69976019"/>
    <w:rsid w:val="69A32CCF"/>
    <w:rsid w:val="69A34249"/>
    <w:rsid w:val="69A60CBC"/>
    <w:rsid w:val="69B339A6"/>
    <w:rsid w:val="69B665F3"/>
    <w:rsid w:val="69C932A9"/>
    <w:rsid w:val="69DC4528"/>
    <w:rsid w:val="69EB5FCC"/>
    <w:rsid w:val="69FE01DC"/>
    <w:rsid w:val="6A011BF9"/>
    <w:rsid w:val="6A063C23"/>
    <w:rsid w:val="6A0B175E"/>
    <w:rsid w:val="6A0B1C3A"/>
    <w:rsid w:val="6A1874E7"/>
    <w:rsid w:val="6A282B66"/>
    <w:rsid w:val="6A2C7939"/>
    <w:rsid w:val="6A2F393C"/>
    <w:rsid w:val="6A2F4319"/>
    <w:rsid w:val="6A527D31"/>
    <w:rsid w:val="6A5705B3"/>
    <w:rsid w:val="6A6E1B96"/>
    <w:rsid w:val="6A732C43"/>
    <w:rsid w:val="6A920AE0"/>
    <w:rsid w:val="6AA3406E"/>
    <w:rsid w:val="6AB94056"/>
    <w:rsid w:val="6ABB1170"/>
    <w:rsid w:val="6ABB3B40"/>
    <w:rsid w:val="6AC26FA3"/>
    <w:rsid w:val="6AC93F8C"/>
    <w:rsid w:val="6AD03B37"/>
    <w:rsid w:val="6AD1121C"/>
    <w:rsid w:val="6AD47FAC"/>
    <w:rsid w:val="6ADB2ADD"/>
    <w:rsid w:val="6AE6668E"/>
    <w:rsid w:val="6AF666D5"/>
    <w:rsid w:val="6B11594C"/>
    <w:rsid w:val="6B2E7032"/>
    <w:rsid w:val="6B3413B3"/>
    <w:rsid w:val="6B537D47"/>
    <w:rsid w:val="6B5B745A"/>
    <w:rsid w:val="6B60464B"/>
    <w:rsid w:val="6B681EB2"/>
    <w:rsid w:val="6B696FA9"/>
    <w:rsid w:val="6B6E47D9"/>
    <w:rsid w:val="6B741DC4"/>
    <w:rsid w:val="6B7B1541"/>
    <w:rsid w:val="6B7C7DA8"/>
    <w:rsid w:val="6B80359D"/>
    <w:rsid w:val="6B8A1407"/>
    <w:rsid w:val="6BA63872"/>
    <w:rsid w:val="6BAA2394"/>
    <w:rsid w:val="6BAC5891"/>
    <w:rsid w:val="6BC80A7B"/>
    <w:rsid w:val="6BDE3149"/>
    <w:rsid w:val="6BE115FE"/>
    <w:rsid w:val="6BF26D24"/>
    <w:rsid w:val="6BFB32BA"/>
    <w:rsid w:val="6BFD6BB7"/>
    <w:rsid w:val="6C026D64"/>
    <w:rsid w:val="6C0E6B4D"/>
    <w:rsid w:val="6C1838E6"/>
    <w:rsid w:val="6C320365"/>
    <w:rsid w:val="6C322944"/>
    <w:rsid w:val="6C34211A"/>
    <w:rsid w:val="6C3727E2"/>
    <w:rsid w:val="6C3F714D"/>
    <w:rsid w:val="6C4735D8"/>
    <w:rsid w:val="6C587224"/>
    <w:rsid w:val="6C6B5BD5"/>
    <w:rsid w:val="6C846D17"/>
    <w:rsid w:val="6C8A1950"/>
    <w:rsid w:val="6C8A288A"/>
    <w:rsid w:val="6C917384"/>
    <w:rsid w:val="6C991D5D"/>
    <w:rsid w:val="6CB16C1F"/>
    <w:rsid w:val="6CB7341A"/>
    <w:rsid w:val="6CBC15EB"/>
    <w:rsid w:val="6CBE000E"/>
    <w:rsid w:val="6CC7229D"/>
    <w:rsid w:val="6CD6702A"/>
    <w:rsid w:val="6CDA72FE"/>
    <w:rsid w:val="6CE23AFB"/>
    <w:rsid w:val="6CE756D0"/>
    <w:rsid w:val="6CF60783"/>
    <w:rsid w:val="6D06792F"/>
    <w:rsid w:val="6D0A162F"/>
    <w:rsid w:val="6D0E0201"/>
    <w:rsid w:val="6D1906F5"/>
    <w:rsid w:val="6D192E27"/>
    <w:rsid w:val="6D232C90"/>
    <w:rsid w:val="6D2D1A8D"/>
    <w:rsid w:val="6D33190D"/>
    <w:rsid w:val="6D3E2D99"/>
    <w:rsid w:val="6D452634"/>
    <w:rsid w:val="6D4B68EC"/>
    <w:rsid w:val="6D5C627B"/>
    <w:rsid w:val="6D681EA4"/>
    <w:rsid w:val="6D6F24B3"/>
    <w:rsid w:val="6D750F93"/>
    <w:rsid w:val="6D76726E"/>
    <w:rsid w:val="6D77432C"/>
    <w:rsid w:val="6D7D1AC3"/>
    <w:rsid w:val="6D815C50"/>
    <w:rsid w:val="6D9033CA"/>
    <w:rsid w:val="6D91378F"/>
    <w:rsid w:val="6DA0407C"/>
    <w:rsid w:val="6DB02AC7"/>
    <w:rsid w:val="6DB32EBA"/>
    <w:rsid w:val="6DBA7E68"/>
    <w:rsid w:val="6DBF0696"/>
    <w:rsid w:val="6DC028E2"/>
    <w:rsid w:val="6DD05B97"/>
    <w:rsid w:val="6DD23DE9"/>
    <w:rsid w:val="6DD62CFA"/>
    <w:rsid w:val="6DDB084C"/>
    <w:rsid w:val="6DE16B73"/>
    <w:rsid w:val="6DE61C05"/>
    <w:rsid w:val="6DEC5AC7"/>
    <w:rsid w:val="6E02368D"/>
    <w:rsid w:val="6E1942EC"/>
    <w:rsid w:val="6E236350"/>
    <w:rsid w:val="6E2573F2"/>
    <w:rsid w:val="6E27678C"/>
    <w:rsid w:val="6E2B11E4"/>
    <w:rsid w:val="6E353B30"/>
    <w:rsid w:val="6E353E42"/>
    <w:rsid w:val="6E3966B9"/>
    <w:rsid w:val="6E447E57"/>
    <w:rsid w:val="6E457E25"/>
    <w:rsid w:val="6E4A2B2A"/>
    <w:rsid w:val="6E7A5781"/>
    <w:rsid w:val="6E9948FB"/>
    <w:rsid w:val="6EB03D25"/>
    <w:rsid w:val="6EB956DC"/>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295B22"/>
    <w:rsid w:val="6F3B5656"/>
    <w:rsid w:val="6F3D5E75"/>
    <w:rsid w:val="6F4603C3"/>
    <w:rsid w:val="6F4A06CE"/>
    <w:rsid w:val="6F4F6830"/>
    <w:rsid w:val="6F6408C5"/>
    <w:rsid w:val="6F653AC8"/>
    <w:rsid w:val="6F6A4079"/>
    <w:rsid w:val="6F6D686A"/>
    <w:rsid w:val="6F6F34A0"/>
    <w:rsid w:val="6F8A5F78"/>
    <w:rsid w:val="6F91219D"/>
    <w:rsid w:val="6FA70BA7"/>
    <w:rsid w:val="6FA73D05"/>
    <w:rsid w:val="6FAF1C9C"/>
    <w:rsid w:val="6FB7533C"/>
    <w:rsid w:val="6FBD44AB"/>
    <w:rsid w:val="6FC26F9F"/>
    <w:rsid w:val="6FC61949"/>
    <w:rsid w:val="6FCD319F"/>
    <w:rsid w:val="6FCE771B"/>
    <w:rsid w:val="6FD14A24"/>
    <w:rsid w:val="6FD80473"/>
    <w:rsid w:val="6FD842D4"/>
    <w:rsid w:val="6FE0254F"/>
    <w:rsid w:val="6FE66281"/>
    <w:rsid w:val="6FE82829"/>
    <w:rsid w:val="6FF231EC"/>
    <w:rsid w:val="6FF80816"/>
    <w:rsid w:val="70051FC3"/>
    <w:rsid w:val="700C4781"/>
    <w:rsid w:val="70105602"/>
    <w:rsid w:val="701168CC"/>
    <w:rsid w:val="70134DF9"/>
    <w:rsid w:val="70160D3D"/>
    <w:rsid w:val="702A21C5"/>
    <w:rsid w:val="702E56D9"/>
    <w:rsid w:val="703B4AA7"/>
    <w:rsid w:val="703F1AC5"/>
    <w:rsid w:val="70515D4F"/>
    <w:rsid w:val="705642DC"/>
    <w:rsid w:val="7062438A"/>
    <w:rsid w:val="709904E6"/>
    <w:rsid w:val="709A3E10"/>
    <w:rsid w:val="70B174B8"/>
    <w:rsid w:val="70B87F99"/>
    <w:rsid w:val="70C06311"/>
    <w:rsid w:val="70C37DFF"/>
    <w:rsid w:val="70C96CF0"/>
    <w:rsid w:val="70CF0F88"/>
    <w:rsid w:val="70D1148B"/>
    <w:rsid w:val="70D51886"/>
    <w:rsid w:val="70DA2E28"/>
    <w:rsid w:val="70DC51AC"/>
    <w:rsid w:val="70F72D6E"/>
    <w:rsid w:val="71065A47"/>
    <w:rsid w:val="71154DE5"/>
    <w:rsid w:val="712F05D2"/>
    <w:rsid w:val="712F4884"/>
    <w:rsid w:val="7130470C"/>
    <w:rsid w:val="71431E1E"/>
    <w:rsid w:val="714A575C"/>
    <w:rsid w:val="714D5498"/>
    <w:rsid w:val="714E093C"/>
    <w:rsid w:val="71532FE3"/>
    <w:rsid w:val="717549D4"/>
    <w:rsid w:val="7177447D"/>
    <w:rsid w:val="71942565"/>
    <w:rsid w:val="71956D10"/>
    <w:rsid w:val="719E1803"/>
    <w:rsid w:val="71CC1622"/>
    <w:rsid w:val="71D01A82"/>
    <w:rsid w:val="71D477D6"/>
    <w:rsid w:val="71D73B4B"/>
    <w:rsid w:val="71D91572"/>
    <w:rsid w:val="71E329B9"/>
    <w:rsid w:val="71E36CE7"/>
    <w:rsid w:val="71F04ACC"/>
    <w:rsid w:val="71F16E28"/>
    <w:rsid w:val="721459A1"/>
    <w:rsid w:val="721667D2"/>
    <w:rsid w:val="721E6A2A"/>
    <w:rsid w:val="723D7D7D"/>
    <w:rsid w:val="72486BF3"/>
    <w:rsid w:val="724A5D81"/>
    <w:rsid w:val="72516EA0"/>
    <w:rsid w:val="72544005"/>
    <w:rsid w:val="725D01F5"/>
    <w:rsid w:val="72601A23"/>
    <w:rsid w:val="7285513E"/>
    <w:rsid w:val="728576DC"/>
    <w:rsid w:val="729D54A9"/>
    <w:rsid w:val="72A41103"/>
    <w:rsid w:val="72BB62FA"/>
    <w:rsid w:val="72BD68EF"/>
    <w:rsid w:val="72C20714"/>
    <w:rsid w:val="72C96AFD"/>
    <w:rsid w:val="72C96D9C"/>
    <w:rsid w:val="72D1628E"/>
    <w:rsid w:val="72D50231"/>
    <w:rsid w:val="72DF2D54"/>
    <w:rsid w:val="72F36F06"/>
    <w:rsid w:val="72F42BA6"/>
    <w:rsid w:val="72F96FC3"/>
    <w:rsid w:val="72FA494D"/>
    <w:rsid w:val="72FF2BDA"/>
    <w:rsid w:val="730243B3"/>
    <w:rsid w:val="7321765C"/>
    <w:rsid w:val="732202D1"/>
    <w:rsid w:val="73337CF8"/>
    <w:rsid w:val="73391467"/>
    <w:rsid w:val="733C42C7"/>
    <w:rsid w:val="734202CC"/>
    <w:rsid w:val="73534DF4"/>
    <w:rsid w:val="736173E3"/>
    <w:rsid w:val="7363222B"/>
    <w:rsid w:val="736C3816"/>
    <w:rsid w:val="736E68EE"/>
    <w:rsid w:val="736F76A9"/>
    <w:rsid w:val="73702680"/>
    <w:rsid w:val="73721F07"/>
    <w:rsid w:val="737A7603"/>
    <w:rsid w:val="737C3330"/>
    <w:rsid w:val="737D693A"/>
    <w:rsid w:val="73872ED1"/>
    <w:rsid w:val="73944AAB"/>
    <w:rsid w:val="73992BDC"/>
    <w:rsid w:val="73A47EFB"/>
    <w:rsid w:val="73AA0B80"/>
    <w:rsid w:val="73BD0ECB"/>
    <w:rsid w:val="73C42BD2"/>
    <w:rsid w:val="73C4341B"/>
    <w:rsid w:val="73D87220"/>
    <w:rsid w:val="73E16E48"/>
    <w:rsid w:val="73E34EEE"/>
    <w:rsid w:val="73E676F9"/>
    <w:rsid w:val="73E80D75"/>
    <w:rsid w:val="73F76592"/>
    <w:rsid w:val="73F77ED0"/>
    <w:rsid w:val="73F92251"/>
    <w:rsid w:val="73FD1FE1"/>
    <w:rsid w:val="74167702"/>
    <w:rsid w:val="741920B7"/>
    <w:rsid w:val="74252A7E"/>
    <w:rsid w:val="74274051"/>
    <w:rsid w:val="74394C16"/>
    <w:rsid w:val="74397B64"/>
    <w:rsid w:val="743A1D6A"/>
    <w:rsid w:val="743F0A47"/>
    <w:rsid w:val="744C4300"/>
    <w:rsid w:val="74522ADD"/>
    <w:rsid w:val="7469097E"/>
    <w:rsid w:val="746940DF"/>
    <w:rsid w:val="74697489"/>
    <w:rsid w:val="747977F5"/>
    <w:rsid w:val="747D359A"/>
    <w:rsid w:val="747F705E"/>
    <w:rsid w:val="74885903"/>
    <w:rsid w:val="749B420B"/>
    <w:rsid w:val="74A305F8"/>
    <w:rsid w:val="74A36C4A"/>
    <w:rsid w:val="74AE732D"/>
    <w:rsid w:val="74E21D75"/>
    <w:rsid w:val="74EA7314"/>
    <w:rsid w:val="74F308E7"/>
    <w:rsid w:val="74F563DC"/>
    <w:rsid w:val="74FC709B"/>
    <w:rsid w:val="750E49F4"/>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960584"/>
    <w:rsid w:val="75A77B96"/>
    <w:rsid w:val="75B56E21"/>
    <w:rsid w:val="75D65EDE"/>
    <w:rsid w:val="75D82A72"/>
    <w:rsid w:val="75E0573C"/>
    <w:rsid w:val="75E746A2"/>
    <w:rsid w:val="75F23D58"/>
    <w:rsid w:val="75F26586"/>
    <w:rsid w:val="75F87521"/>
    <w:rsid w:val="75FA0B70"/>
    <w:rsid w:val="75FA5AC1"/>
    <w:rsid w:val="75FC11D4"/>
    <w:rsid w:val="76047A8D"/>
    <w:rsid w:val="760858EF"/>
    <w:rsid w:val="760E6B9C"/>
    <w:rsid w:val="76104166"/>
    <w:rsid w:val="761371CD"/>
    <w:rsid w:val="761F36C5"/>
    <w:rsid w:val="762D665B"/>
    <w:rsid w:val="76381FAB"/>
    <w:rsid w:val="76645AE7"/>
    <w:rsid w:val="766A66DC"/>
    <w:rsid w:val="766D37EB"/>
    <w:rsid w:val="76805D33"/>
    <w:rsid w:val="769E79EF"/>
    <w:rsid w:val="76A14FCB"/>
    <w:rsid w:val="76A613E1"/>
    <w:rsid w:val="76B76559"/>
    <w:rsid w:val="76C1748B"/>
    <w:rsid w:val="76CB66C2"/>
    <w:rsid w:val="76D71B2F"/>
    <w:rsid w:val="76D72961"/>
    <w:rsid w:val="76DA28C5"/>
    <w:rsid w:val="76DE63E9"/>
    <w:rsid w:val="76E97048"/>
    <w:rsid w:val="76F10225"/>
    <w:rsid w:val="76F52A70"/>
    <w:rsid w:val="76F84648"/>
    <w:rsid w:val="76FF4AF8"/>
    <w:rsid w:val="77021F55"/>
    <w:rsid w:val="77267F29"/>
    <w:rsid w:val="772B0E02"/>
    <w:rsid w:val="77361D8F"/>
    <w:rsid w:val="773F6B8B"/>
    <w:rsid w:val="77685CA5"/>
    <w:rsid w:val="776A154C"/>
    <w:rsid w:val="777164C4"/>
    <w:rsid w:val="777F1F8A"/>
    <w:rsid w:val="778F53C8"/>
    <w:rsid w:val="77A340AF"/>
    <w:rsid w:val="77A71275"/>
    <w:rsid w:val="77B17CA2"/>
    <w:rsid w:val="77C03ECA"/>
    <w:rsid w:val="77FC7EA1"/>
    <w:rsid w:val="78030BB3"/>
    <w:rsid w:val="780C4D7B"/>
    <w:rsid w:val="780E75CE"/>
    <w:rsid w:val="78183D62"/>
    <w:rsid w:val="781E5BB3"/>
    <w:rsid w:val="78291A3D"/>
    <w:rsid w:val="78376779"/>
    <w:rsid w:val="7840644C"/>
    <w:rsid w:val="785600E7"/>
    <w:rsid w:val="78665DAD"/>
    <w:rsid w:val="78684E9D"/>
    <w:rsid w:val="78693128"/>
    <w:rsid w:val="786B0114"/>
    <w:rsid w:val="788526FC"/>
    <w:rsid w:val="789325A8"/>
    <w:rsid w:val="78966F42"/>
    <w:rsid w:val="789C5CC2"/>
    <w:rsid w:val="78A73464"/>
    <w:rsid w:val="78AE710A"/>
    <w:rsid w:val="78B55E40"/>
    <w:rsid w:val="78B65948"/>
    <w:rsid w:val="78BA147C"/>
    <w:rsid w:val="78BD011C"/>
    <w:rsid w:val="78C371B6"/>
    <w:rsid w:val="78CF013E"/>
    <w:rsid w:val="78D41BC4"/>
    <w:rsid w:val="78D7123D"/>
    <w:rsid w:val="78DC1ED9"/>
    <w:rsid w:val="78E45DC5"/>
    <w:rsid w:val="78E74107"/>
    <w:rsid w:val="78E829E1"/>
    <w:rsid w:val="78F57244"/>
    <w:rsid w:val="7911492F"/>
    <w:rsid w:val="791B1776"/>
    <w:rsid w:val="792546E2"/>
    <w:rsid w:val="79254E6A"/>
    <w:rsid w:val="79292660"/>
    <w:rsid w:val="793C3220"/>
    <w:rsid w:val="79424D71"/>
    <w:rsid w:val="794A4ACB"/>
    <w:rsid w:val="795E5A9F"/>
    <w:rsid w:val="7969335E"/>
    <w:rsid w:val="79707EB6"/>
    <w:rsid w:val="797A3158"/>
    <w:rsid w:val="79936416"/>
    <w:rsid w:val="79956DF5"/>
    <w:rsid w:val="799F18BD"/>
    <w:rsid w:val="79A9542E"/>
    <w:rsid w:val="79AF5DCE"/>
    <w:rsid w:val="79B67472"/>
    <w:rsid w:val="79BE5DE1"/>
    <w:rsid w:val="79D65E05"/>
    <w:rsid w:val="79D82C2E"/>
    <w:rsid w:val="79D83551"/>
    <w:rsid w:val="79E24263"/>
    <w:rsid w:val="79F04129"/>
    <w:rsid w:val="79F21FD8"/>
    <w:rsid w:val="7A044F5E"/>
    <w:rsid w:val="7A0716CA"/>
    <w:rsid w:val="7A114BB5"/>
    <w:rsid w:val="7A14656B"/>
    <w:rsid w:val="7A190AB5"/>
    <w:rsid w:val="7A201B60"/>
    <w:rsid w:val="7A246641"/>
    <w:rsid w:val="7A3005C8"/>
    <w:rsid w:val="7A3A37EB"/>
    <w:rsid w:val="7A443AD5"/>
    <w:rsid w:val="7A495661"/>
    <w:rsid w:val="7A4A2D6F"/>
    <w:rsid w:val="7A4D6899"/>
    <w:rsid w:val="7A5868E1"/>
    <w:rsid w:val="7A654EF0"/>
    <w:rsid w:val="7A755AD2"/>
    <w:rsid w:val="7A776967"/>
    <w:rsid w:val="7A7F5660"/>
    <w:rsid w:val="7A827221"/>
    <w:rsid w:val="7A9149C4"/>
    <w:rsid w:val="7A930150"/>
    <w:rsid w:val="7A972572"/>
    <w:rsid w:val="7AA34AEB"/>
    <w:rsid w:val="7AD328AD"/>
    <w:rsid w:val="7ADE6CE8"/>
    <w:rsid w:val="7AEB63DD"/>
    <w:rsid w:val="7AFE2F11"/>
    <w:rsid w:val="7B0B6E35"/>
    <w:rsid w:val="7B146B8B"/>
    <w:rsid w:val="7B17071C"/>
    <w:rsid w:val="7B2D4E59"/>
    <w:rsid w:val="7B361B73"/>
    <w:rsid w:val="7B3E404B"/>
    <w:rsid w:val="7B3E6F0C"/>
    <w:rsid w:val="7B487574"/>
    <w:rsid w:val="7B5847D4"/>
    <w:rsid w:val="7B5B03C8"/>
    <w:rsid w:val="7B5E4035"/>
    <w:rsid w:val="7B677818"/>
    <w:rsid w:val="7B742FC3"/>
    <w:rsid w:val="7B7C2D50"/>
    <w:rsid w:val="7B8332C5"/>
    <w:rsid w:val="7B92241D"/>
    <w:rsid w:val="7B933A33"/>
    <w:rsid w:val="7B9B5776"/>
    <w:rsid w:val="7BA47AD9"/>
    <w:rsid w:val="7BB23597"/>
    <w:rsid w:val="7BB87E91"/>
    <w:rsid w:val="7BBA4C6D"/>
    <w:rsid w:val="7BBF7B42"/>
    <w:rsid w:val="7BC47370"/>
    <w:rsid w:val="7BD5667F"/>
    <w:rsid w:val="7BE85532"/>
    <w:rsid w:val="7BED1AFB"/>
    <w:rsid w:val="7BF521EB"/>
    <w:rsid w:val="7BF652F4"/>
    <w:rsid w:val="7BF65A76"/>
    <w:rsid w:val="7BFE5B71"/>
    <w:rsid w:val="7C037135"/>
    <w:rsid w:val="7C090308"/>
    <w:rsid w:val="7C1526D4"/>
    <w:rsid w:val="7C3A5AAE"/>
    <w:rsid w:val="7C521E57"/>
    <w:rsid w:val="7C563743"/>
    <w:rsid w:val="7C5B29CF"/>
    <w:rsid w:val="7C6D5ED6"/>
    <w:rsid w:val="7C710621"/>
    <w:rsid w:val="7C7F0437"/>
    <w:rsid w:val="7C875361"/>
    <w:rsid w:val="7C9E7D96"/>
    <w:rsid w:val="7CA2276B"/>
    <w:rsid w:val="7CB67DC0"/>
    <w:rsid w:val="7CB927F3"/>
    <w:rsid w:val="7CBD1EC8"/>
    <w:rsid w:val="7CCA25EE"/>
    <w:rsid w:val="7CD25978"/>
    <w:rsid w:val="7CEC5ADC"/>
    <w:rsid w:val="7CFA373E"/>
    <w:rsid w:val="7CFA3CFB"/>
    <w:rsid w:val="7CFC09FE"/>
    <w:rsid w:val="7D000B73"/>
    <w:rsid w:val="7D0047C2"/>
    <w:rsid w:val="7D244163"/>
    <w:rsid w:val="7D3D38AB"/>
    <w:rsid w:val="7D413779"/>
    <w:rsid w:val="7D482750"/>
    <w:rsid w:val="7D4E1D3F"/>
    <w:rsid w:val="7D4F55E2"/>
    <w:rsid w:val="7D5C69A3"/>
    <w:rsid w:val="7D6008FC"/>
    <w:rsid w:val="7D626802"/>
    <w:rsid w:val="7D696143"/>
    <w:rsid w:val="7D6A45A3"/>
    <w:rsid w:val="7D6B1B98"/>
    <w:rsid w:val="7D7B394F"/>
    <w:rsid w:val="7D810AC9"/>
    <w:rsid w:val="7D856862"/>
    <w:rsid w:val="7D8953D3"/>
    <w:rsid w:val="7D8B14DE"/>
    <w:rsid w:val="7D9D3DB8"/>
    <w:rsid w:val="7D9F0D2B"/>
    <w:rsid w:val="7D9F2B6E"/>
    <w:rsid w:val="7D9F62FE"/>
    <w:rsid w:val="7DAE24B5"/>
    <w:rsid w:val="7DAF66EB"/>
    <w:rsid w:val="7DB24DC1"/>
    <w:rsid w:val="7DB4614C"/>
    <w:rsid w:val="7DB67CD0"/>
    <w:rsid w:val="7DBF1D7F"/>
    <w:rsid w:val="7DC9253D"/>
    <w:rsid w:val="7DE37918"/>
    <w:rsid w:val="7DF232D8"/>
    <w:rsid w:val="7DF44714"/>
    <w:rsid w:val="7DFC6FC2"/>
    <w:rsid w:val="7E135DA3"/>
    <w:rsid w:val="7E175904"/>
    <w:rsid w:val="7E2D3630"/>
    <w:rsid w:val="7E2F2179"/>
    <w:rsid w:val="7E314AA9"/>
    <w:rsid w:val="7E3225E2"/>
    <w:rsid w:val="7E352319"/>
    <w:rsid w:val="7E564D83"/>
    <w:rsid w:val="7E571B5C"/>
    <w:rsid w:val="7E691AAA"/>
    <w:rsid w:val="7E6A29A3"/>
    <w:rsid w:val="7E755EAD"/>
    <w:rsid w:val="7E784DF4"/>
    <w:rsid w:val="7E7E54AA"/>
    <w:rsid w:val="7E874EDA"/>
    <w:rsid w:val="7E8C5D3C"/>
    <w:rsid w:val="7EA51811"/>
    <w:rsid w:val="7EA521AD"/>
    <w:rsid w:val="7EB37EC7"/>
    <w:rsid w:val="7EB52EE8"/>
    <w:rsid w:val="7EBC6F95"/>
    <w:rsid w:val="7ECE76CB"/>
    <w:rsid w:val="7ED14D09"/>
    <w:rsid w:val="7EDC7F0A"/>
    <w:rsid w:val="7EDD0CB5"/>
    <w:rsid w:val="7EFC08FE"/>
    <w:rsid w:val="7EFC1A7B"/>
    <w:rsid w:val="7F0F5438"/>
    <w:rsid w:val="7F116418"/>
    <w:rsid w:val="7F26412C"/>
    <w:rsid w:val="7F2E2C68"/>
    <w:rsid w:val="7F331D30"/>
    <w:rsid w:val="7F345D5C"/>
    <w:rsid w:val="7F37282D"/>
    <w:rsid w:val="7F4718C5"/>
    <w:rsid w:val="7F491102"/>
    <w:rsid w:val="7F497367"/>
    <w:rsid w:val="7F5157A1"/>
    <w:rsid w:val="7F557C58"/>
    <w:rsid w:val="7F575AF6"/>
    <w:rsid w:val="7F5D41F3"/>
    <w:rsid w:val="7F610DEC"/>
    <w:rsid w:val="7F6C669C"/>
    <w:rsid w:val="7F71150D"/>
    <w:rsid w:val="7F7A36CC"/>
    <w:rsid w:val="7F8117EC"/>
    <w:rsid w:val="7F817243"/>
    <w:rsid w:val="7F8C141E"/>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3F2CE8-EA69-4473-A5F8-3C23F4C43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Definition">
    <w:name w:val="HTML Definition"/>
    <w:basedOn w:val="DefaultParagraphFont"/>
    <w:qFormat/>
  </w:style>
  <w:style w:type="character" w:styleId="HTMLAcronym">
    <w:name w:val="HTML Acronym"/>
    <w:basedOn w:val="DefaultParagraphFont"/>
    <w:qFormat/>
  </w:style>
  <w:style w:type="character" w:styleId="HTMLVariable">
    <w:name w:val="HTML Variable"/>
    <w:basedOn w:val="DefaultParagraphFont"/>
    <w:qFormat/>
  </w:style>
  <w:style w:type="character" w:styleId="Hyperlink">
    <w:name w:val="Hyperlink"/>
    <w:uiPriority w:val="99"/>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semiHidden/>
    <w:qFormat/>
    <w:rPr>
      <w:sz w:val="21"/>
      <w:szCs w:val="21"/>
    </w:rPr>
  </w:style>
  <w:style w:type="character" w:styleId="HTMLCite">
    <w:name w:val="HTML Cite"/>
    <w:basedOn w:val="DefaultParagraphFont"/>
    <w:qForma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character" w:customStyle="1" w:styleId="eop">
    <w:name w:val="eop"/>
    <w:qFormat/>
  </w:style>
  <w:style w:type="character" w:customStyle="1" w:styleId="font21">
    <w:name w:val="font2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paragraph" w:styleId="ListParagraph">
    <w:name w:val="List Paragraph"/>
    <w:basedOn w:val="Normal"/>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 w:type="character" w:customStyle="1" w:styleId="focus">
    <w:name w:val="focus"/>
    <w:basedOn w:val="DefaultParagraphFont"/>
    <w:qFormat/>
  </w:style>
  <w:style w:type="character" w:customStyle="1" w:styleId="high-light-bg5">
    <w:name w:val="high-light-bg5"/>
    <w:basedOn w:val="DefaultParagraphFont"/>
    <w:qFormat/>
    <w:rPr>
      <w:shd w:val="clear" w:color="auto" w:fill="FEE972"/>
    </w:rPr>
  </w:style>
  <w:style w:type="character" w:customStyle="1" w:styleId="high-light-bg4">
    <w:name w:val="high-light-bg4"/>
    <w:basedOn w:val="DefaultParagraphFont"/>
    <w:qFormat/>
    <w:rPr>
      <w:shd w:val="clear" w:color="auto" w:fill="FEE9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2020.7~2021.1\102e\ZTE_Tdocs\R17_others\figur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020.7~2021.1\102e\ZTE_Tdocs\R17_others\figur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2020.7~2021.1\102e\ZTE_Tdocs\R17_others\figur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2020.7~2021.1\102e\ZTE_Tdocs\R17_others\figure.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Mean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[figure.xlsx]Sheet5!$G$7</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[figure.xlsx]Sheet5!$H$6:$I$6</c:f>
              <c:strCache>
                <c:ptCount val="2"/>
                <c:pt idx="0">
                  <c:v>Case 1</c:v>
                </c:pt>
                <c:pt idx="1">
                  <c:v>Case 2</c:v>
                </c:pt>
              </c:strCache>
            </c:strRef>
          </c:cat>
          <c:val>
            <c:numRef>
              <c:f>[figure.xlsx]Sheet5!$H$7:$I$7</c:f>
              <c:numCache>
                <c:formatCode>General</c:formatCode>
                <c:ptCount val="2"/>
                <c:pt idx="0">
                  <c:v>3927.3368999999998</c:v>
                </c:pt>
                <c:pt idx="1">
                  <c:v>3742.8137000000002</c:v>
                </c:pt>
              </c:numCache>
            </c:numRef>
          </c:val>
        </c:ser>
        <c:ser>
          <c:idx val="1"/>
          <c:order val="1"/>
          <c:tx>
            <c:strRef>
              <c:f>[figure.xlsx]Sheet5!$G$8</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[figure.xlsx]Sheet5!$H$6:$I$6</c:f>
              <c:strCache>
                <c:ptCount val="2"/>
                <c:pt idx="0">
                  <c:v>Case 1</c:v>
                </c:pt>
                <c:pt idx="1">
                  <c:v>Case 2</c:v>
                </c:pt>
              </c:strCache>
            </c:strRef>
          </c:cat>
          <c:val>
            <c:numRef>
              <c:f>[figure.xlsx]Sheet5!$H$8:$I$8</c:f>
              <c:numCache>
                <c:formatCode>General</c:formatCode>
                <c:ptCount val="2"/>
                <c:pt idx="0">
                  <c:v>2864.0048999999999</c:v>
                </c:pt>
                <c:pt idx="1">
                  <c:v>3825.9131000000002</c:v>
                </c:pt>
              </c:numCache>
            </c:numRef>
          </c:val>
        </c:ser>
        <c:ser>
          <c:idx val="2"/>
          <c:order val="2"/>
          <c:tx>
            <c:strRef>
              <c:f>[figure.xlsx]Sheet5!$G$9</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[figure.xlsx]Sheet5!$H$6:$I$6</c:f>
              <c:strCache>
                <c:ptCount val="2"/>
                <c:pt idx="0">
                  <c:v>Case 1</c:v>
                </c:pt>
                <c:pt idx="1">
                  <c:v>Case 2</c:v>
                </c:pt>
              </c:strCache>
            </c:strRef>
          </c:cat>
          <c:val>
            <c:numRef>
              <c:f>[figure.xlsx]Sheet5!$H$9:$I$9</c:f>
              <c:numCache>
                <c:formatCode>General</c:formatCode>
                <c:ptCount val="2"/>
                <c:pt idx="0">
                  <c:v>6791.3418000000001</c:v>
                </c:pt>
                <c:pt idx="1">
                  <c:v>7568.7268000000004</c:v>
                </c:pt>
              </c:numCache>
            </c:numRef>
          </c:val>
        </c:ser>
        <c:dLbls>
          <c:showLegendKey val="0"/>
          <c:showVal val="0"/>
          <c:showCatName val="0"/>
          <c:showSerName val="0"/>
          <c:showPercent val="0"/>
          <c:showBubbleSize val="0"/>
        </c:dLbls>
        <c:gapWidth val="219"/>
        <c:overlap val="-27"/>
        <c:axId val="722965208"/>
        <c:axId val="722965600"/>
      </c:barChart>
      <c:catAx>
        <c:axId val="7229652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2965600"/>
        <c:crosses val="autoZero"/>
        <c:auto val="1"/>
        <c:lblAlgn val="ctr"/>
        <c:lblOffset val="100"/>
        <c:noMultiLvlLbl val="0"/>
      </c:catAx>
      <c:valAx>
        <c:axId val="722965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2965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5%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[figure.xlsx]Sheet5!$L$7</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[figure.xlsx]Sheet5!$M$6:$N$6</c:f>
              <c:strCache>
                <c:ptCount val="2"/>
                <c:pt idx="0">
                  <c:v>Case 1</c:v>
                </c:pt>
                <c:pt idx="1">
                  <c:v>Case 2</c:v>
                </c:pt>
              </c:strCache>
            </c:strRef>
          </c:cat>
          <c:val>
            <c:numRef>
              <c:f>[figure.xlsx]Sheet5!$M$7:$N$7</c:f>
              <c:numCache>
                <c:formatCode>General</c:formatCode>
                <c:ptCount val="2"/>
                <c:pt idx="0">
                  <c:v>330.60759999999999</c:v>
                </c:pt>
                <c:pt idx="1">
                  <c:v>342.19959999999998</c:v>
                </c:pt>
              </c:numCache>
            </c:numRef>
          </c:val>
        </c:ser>
        <c:ser>
          <c:idx val="1"/>
          <c:order val="1"/>
          <c:tx>
            <c:strRef>
              <c:f>[figure.xlsx]Sheet5!$L$8</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[figure.xlsx]Sheet5!$M$6:$N$6</c:f>
              <c:strCache>
                <c:ptCount val="2"/>
                <c:pt idx="0">
                  <c:v>Case 1</c:v>
                </c:pt>
                <c:pt idx="1">
                  <c:v>Case 2</c:v>
                </c:pt>
              </c:strCache>
            </c:strRef>
          </c:cat>
          <c:val>
            <c:numRef>
              <c:f>[figure.xlsx]Sheet5!$M$8:$N$8</c:f>
              <c:numCache>
                <c:formatCode>General</c:formatCode>
                <c:ptCount val="2"/>
                <c:pt idx="0">
                  <c:v>145.36799999999999</c:v>
                </c:pt>
                <c:pt idx="1">
                  <c:v>213.1892</c:v>
                </c:pt>
              </c:numCache>
            </c:numRef>
          </c:val>
        </c:ser>
        <c:ser>
          <c:idx val="2"/>
          <c:order val="2"/>
          <c:tx>
            <c:strRef>
              <c:f>[figure.xlsx]Sheet5!$L$9</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[figure.xlsx]Sheet5!$M$6:$N$6</c:f>
              <c:strCache>
                <c:ptCount val="2"/>
                <c:pt idx="0">
                  <c:v>Case 1</c:v>
                </c:pt>
                <c:pt idx="1">
                  <c:v>Case 2</c:v>
                </c:pt>
              </c:strCache>
            </c:strRef>
          </c:cat>
          <c:val>
            <c:numRef>
              <c:f>[figure.xlsx]Sheet5!$M$9:$N$9</c:f>
              <c:numCache>
                <c:formatCode>General</c:formatCode>
                <c:ptCount val="2"/>
                <c:pt idx="0">
                  <c:v>475.97559999999999</c:v>
                </c:pt>
                <c:pt idx="1">
                  <c:v>555.38879999999995</c:v>
                </c:pt>
              </c:numCache>
            </c:numRef>
          </c:val>
        </c:ser>
        <c:dLbls>
          <c:showLegendKey val="0"/>
          <c:showVal val="0"/>
          <c:showCatName val="0"/>
          <c:showSerName val="0"/>
          <c:showPercent val="0"/>
          <c:showBubbleSize val="0"/>
        </c:dLbls>
        <c:gapWidth val="219"/>
        <c:overlap val="-27"/>
        <c:axId val="722966384"/>
        <c:axId val="722966776"/>
      </c:barChart>
      <c:catAx>
        <c:axId val="7229663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2966776"/>
        <c:crosses val="autoZero"/>
        <c:auto val="1"/>
        <c:lblAlgn val="ctr"/>
        <c:lblOffset val="100"/>
        <c:noMultiLvlLbl val="0"/>
      </c:catAx>
      <c:valAx>
        <c:axId val="7229667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2966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50%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[figure.xlsx]Sheet5!$E$29</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[figure.xlsx]Sheet5!$F$28:$G$28</c:f>
              <c:strCache>
                <c:ptCount val="2"/>
                <c:pt idx="0">
                  <c:v>Case 1</c:v>
                </c:pt>
                <c:pt idx="1">
                  <c:v>Case 2</c:v>
                </c:pt>
              </c:strCache>
            </c:strRef>
          </c:cat>
          <c:val>
            <c:numRef>
              <c:f>[figure.xlsx]Sheet5!$F$29:$G$29</c:f>
              <c:numCache>
                <c:formatCode>General</c:formatCode>
                <c:ptCount val="2"/>
                <c:pt idx="0">
                  <c:v>1899.3197</c:v>
                </c:pt>
                <c:pt idx="1">
                  <c:v>1864.7524000000001</c:v>
                </c:pt>
              </c:numCache>
            </c:numRef>
          </c:val>
        </c:ser>
        <c:ser>
          <c:idx val="1"/>
          <c:order val="1"/>
          <c:tx>
            <c:strRef>
              <c:f>[figure.xlsx]Sheet5!$E$30</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[figure.xlsx]Sheet5!$F$28:$G$28</c:f>
              <c:strCache>
                <c:ptCount val="2"/>
                <c:pt idx="0">
                  <c:v>Case 1</c:v>
                </c:pt>
                <c:pt idx="1">
                  <c:v>Case 2</c:v>
                </c:pt>
              </c:strCache>
            </c:strRef>
          </c:cat>
          <c:val>
            <c:numRef>
              <c:f>[figure.xlsx]Sheet5!$F$30:$G$30</c:f>
              <c:numCache>
                <c:formatCode>General</c:formatCode>
                <c:ptCount val="2"/>
                <c:pt idx="0">
                  <c:v>2012.3595</c:v>
                </c:pt>
                <c:pt idx="1">
                  <c:v>2303.1646000000001</c:v>
                </c:pt>
              </c:numCache>
            </c:numRef>
          </c:val>
        </c:ser>
        <c:ser>
          <c:idx val="2"/>
          <c:order val="2"/>
          <c:tx>
            <c:strRef>
              <c:f>[figure.xlsx]Sheet5!$E$31</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[figure.xlsx]Sheet5!$F$28:$G$28</c:f>
              <c:strCache>
                <c:ptCount val="2"/>
                <c:pt idx="0">
                  <c:v>Case 1</c:v>
                </c:pt>
                <c:pt idx="1">
                  <c:v>Case 2</c:v>
                </c:pt>
              </c:strCache>
            </c:strRef>
          </c:cat>
          <c:val>
            <c:numRef>
              <c:f>[figure.xlsx]Sheet5!$F$31:$G$31</c:f>
              <c:numCache>
                <c:formatCode>General</c:formatCode>
                <c:ptCount val="2"/>
                <c:pt idx="0">
                  <c:v>3911.6792</c:v>
                </c:pt>
                <c:pt idx="1">
                  <c:v>4167.9170000000004</c:v>
                </c:pt>
              </c:numCache>
            </c:numRef>
          </c:val>
        </c:ser>
        <c:dLbls>
          <c:showLegendKey val="0"/>
          <c:showVal val="0"/>
          <c:showCatName val="0"/>
          <c:showSerName val="0"/>
          <c:showPercent val="0"/>
          <c:showBubbleSize val="0"/>
        </c:dLbls>
        <c:gapWidth val="219"/>
        <c:overlap val="-27"/>
        <c:axId val="720606856"/>
        <c:axId val="720607248"/>
      </c:barChart>
      <c:catAx>
        <c:axId val="72060685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0607248"/>
        <c:crosses val="autoZero"/>
        <c:auto val="1"/>
        <c:lblAlgn val="ctr"/>
        <c:lblOffset val="100"/>
        <c:noMultiLvlLbl val="0"/>
      </c:catAx>
      <c:valAx>
        <c:axId val="7206072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0606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95%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[figure.xlsx]Sheet5!$J$29</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[figure.xlsx]Sheet5!$K$28:$L$28</c:f>
              <c:strCache>
                <c:ptCount val="2"/>
                <c:pt idx="0">
                  <c:v>Case 1</c:v>
                </c:pt>
                <c:pt idx="1">
                  <c:v>Case 2</c:v>
                </c:pt>
              </c:strCache>
            </c:strRef>
          </c:cat>
          <c:val>
            <c:numRef>
              <c:f>[figure.xlsx]Sheet5!$K$29:$L$29</c:f>
              <c:numCache>
                <c:formatCode>General</c:formatCode>
                <c:ptCount val="2"/>
                <c:pt idx="0">
                  <c:v>13254.006799999999</c:v>
                </c:pt>
                <c:pt idx="1">
                  <c:v>11698.5234</c:v>
                </c:pt>
              </c:numCache>
            </c:numRef>
          </c:val>
        </c:ser>
        <c:ser>
          <c:idx val="1"/>
          <c:order val="1"/>
          <c:tx>
            <c:strRef>
              <c:f>[figure.xlsx]Sheet5!$J$30</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[figure.xlsx]Sheet5!$K$28:$L$28</c:f>
              <c:strCache>
                <c:ptCount val="2"/>
                <c:pt idx="0">
                  <c:v>Case 1</c:v>
                </c:pt>
                <c:pt idx="1">
                  <c:v>Case 2</c:v>
                </c:pt>
              </c:strCache>
            </c:strRef>
          </c:cat>
          <c:val>
            <c:numRef>
              <c:f>[figure.xlsx]Sheet5!$K$30:$L$30</c:f>
              <c:numCache>
                <c:formatCode>General</c:formatCode>
                <c:ptCount val="2"/>
                <c:pt idx="0">
                  <c:v>7434.4336000000003</c:v>
                </c:pt>
                <c:pt idx="1">
                  <c:v>10241.949199999999</c:v>
                </c:pt>
              </c:numCache>
            </c:numRef>
          </c:val>
        </c:ser>
        <c:ser>
          <c:idx val="2"/>
          <c:order val="2"/>
          <c:tx>
            <c:strRef>
              <c:f>[figure.xlsx]Sheet5!$J$31</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[figure.xlsx]Sheet5!$K$28:$L$28</c:f>
              <c:strCache>
                <c:ptCount val="2"/>
                <c:pt idx="0">
                  <c:v>Case 1</c:v>
                </c:pt>
                <c:pt idx="1">
                  <c:v>Case 2</c:v>
                </c:pt>
              </c:strCache>
            </c:strRef>
          </c:cat>
          <c:val>
            <c:numRef>
              <c:f>[figure.xlsx]Sheet5!$K$31:$L$31</c:f>
              <c:numCache>
                <c:formatCode>General</c:formatCode>
                <c:ptCount val="2"/>
                <c:pt idx="0">
                  <c:v>20688.440399999999</c:v>
                </c:pt>
                <c:pt idx="1">
                  <c:v>21940.472600000001</c:v>
                </c:pt>
              </c:numCache>
            </c:numRef>
          </c:val>
        </c:ser>
        <c:dLbls>
          <c:showLegendKey val="0"/>
          <c:showVal val="0"/>
          <c:showCatName val="0"/>
          <c:showSerName val="0"/>
          <c:showPercent val="0"/>
          <c:showBubbleSize val="0"/>
        </c:dLbls>
        <c:gapWidth val="219"/>
        <c:overlap val="-27"/>
        <c:axId val="720608032"/>
        <c:axId val="722446152"/>
      </c:barChart>
      <c:catAx>
        <c:axId val="7206080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2446152"/>
        <c:crosses val="autoZero"/>
        <c:auto val="1"/>
        <c:lblAlgn val="ctr"/>
        <c:lblOffset val="100"/>
        <c:noMultiLvlLbl val="0"/>
      </c:catAx>
      <c:valAx>
        <c:axId val="722446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06080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2406</Words>
  <Characters>13718</Characters>
  <Application>Microsoft Office Word</Application>
  <DocSecurity>0</DocSecurity>
  <Lines>114</Lines>
  <Paragraphs>32</Paragraphs>
  <ScaleCrop>false</ScaleCrop>
  <Company>ZTE</Company>
  <LinksUpToDate>false</LinksUpToDate>
  <CharactersWithSpaces>16092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104</cp:revision>
  <cp:lastPrinted>2018-02-16T23:29:00Z</cp:lastPrinted>
  <dcterms:created xsi:type="dcterms:W3CDTF">2018-11-02T18:04:00Z</dcterms:created>
  <dcterms:modified xsi:type="dcterms:W3CDTF">2020-08-08T04:02:00Z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